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405" w:beforeLines="450" w:line="60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0"/>
          <w:sz w:val="44"/>
          <w:szCs w:val="44"/>
          <w:highlight w:val="none"/>
        </w:rPr>
        <w:pict>
          <v:shape id="_x0000_s1027" o:spid="_x0000_s1027" o:spt="202" type="#_x0000_t202" style="position:absolute;left:0pt;margin-left:1.3pt;margin-top:-1.45pt;height:46.5pt;width:144.6pt;z-index:251661312;mso-width-relative:page;mso-height-relative:page;" fillcolor="#FFFFFF" filled="t" stroked="f" coordsize="21600,21600" o:gfxdata="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oEIWrWAAAABwEAAA8AAAAAAAAAAQAgAAAA&#10;IgAAAGRycy9kb3ducmV2LnhtbFBLAQIUABQAAAAIAIdO4kAqZ80Y1AEAAKkDAAAOAAAAAAAAAAEA&#10;IAAAACUBAABkcnMvZTJvRG9jLnhtbFBLBQYAAAAABgAGAFkBAABrBQAAAAA=&#10;">
            <v:path/>
            <v:fill on="t" focussize="0,0"/>
            <v:stroke on="f"/>
            <v:imagedata o:title=""/>
            <o:lock v:ext="edit" aspectratio="f"/>
            <v:textbox inset="0mm,0mm,0mm,0mm">
              <w:txbxContent>
                <w:p>
                  <w:pPr>
                    <w:spacing w:line="400" w:lineRule="exact"/>
                    <w:jc w:val="distribute"/>
                    <w:rPr>
                      <w:rFonts w:ascii="黑体" w:eastAsia="黑体"/>
                      <w:color w:val="000000"/>
                      <w:spacing w:val="14"/>
                      <w:sz w:val="28"/>
                      <w:szCs w:val="28"/>
                    </w:rPr>
                  </w:pPr>
                  <w:r>
                    <w:rPr>
                      <w:rFonts w:hint="eastAsia" w:ascii="黑体" w:eastAsia="黑体"/>
                      <w:color w:val="000000"/>
                      <w:spacing w:val="14"/>
                      <w:sz w:val="28"/>
                      <w:szCs w:val="28"/>
                    </w:rPr>
                    <w:t>盘锦市大洼区十</w:t>
                  </w:r>
                  <w:r>
                    <w:rPr>
                      <w:rFonts w:hint="eastAsia" w:ascii="黑体" w:eastAsia="黑体"/>
                      <w:color w:val="000000"/>
                      <w:spacing w:val="14"/>
                      <w:sz w:val="28"/>
                      <w:szCs w:val="28"/>
                      <w:lang w:val="en-US" w:eastAsia="zh-CN"/>
                    </w:rPr>
                    <w:t>九</w:t>
                  </w:r>
                  <w:r>
                    <w:rPr>
                      <w:rFonts w:hint="eastAsia" w:ascii="黑体" w:eastAsia="黑体"/>
                      <w:color w:val="000000"/>
                      <w:spacing w:val="14"/>
                      <w:sz w:val="28"/>
                      <w:szCs w:val="28"/>
                    </w:rPr>
                    <w:t>届</w:t>
                  </w:r>
                </w:p>
                <w:p>
                  <w:pPr>
                    <w:spacing w:line="400" w:lineRule="exact"/>
                    <w:jc w:val="distribute"/>
                    <w:rPr>
                      <w:rFonts w:ascii="黑体" w:eastAsia="黑体"/>
                      <w:sz w:val="28"/>
                      <w:szCs w:val="28"/>
                    </w:rPr>
                  </w:pPr>
                  <w:r>
                    <w:rPr>
                      <w:rFonts w:hint="eastAsia" w:ascii="黑体" w:eastAsia="黑体"/>
                      <w:color w:val="000000"/>
                      <w:sz w:val="28"/>
                      <w:szCs w:val="28"/>
                    </w:rPr>
                    <w:t>人大</w:t>
                  </w:r>
                  <w:r>
                    <w:rPr>
                      <w:rFonts w:hint="eastAsia" w:ascii="黑体" w:eastAsia="黑体"/>
                      <w:color w:val="000000"/>
                      <w:sz w:val="28"/>
                      <w:szCs w:val="28"/>
                      <w:lang w:val="en-US" w:eastAsia="zh-CN"/>
                    </w:rPr>
                    <w:t>四</w:t>
                  </w:r>
                  <w:r>
                    <w:rPr>
                      <w:rFonts w:hint="eastAsia" w:ascii="黑体" w:eastAsia="黑体"/>
                      <w:color w:val="000000"/>
                      <w:sz w:val="28"/>
                      <w:szCs w:val="28"/>
                    </w:rPr>
                    <w:t>次会议文件（</w:t>
                  </w:r>
                  <w:r>
                    <w:rPr>
                      <w:rFonts w:hint="eastAsia" w:ascii="黑体" w:eastAsia="黑体"/>
                      <w:color w:val="000000"/>
                      <w:sz w:val="28"/>
                      <w:szCs w:val="28"/>
                      <w:lang w:val="en-US" w:eastAsia="zh-CN"/>
                    </w:rPr>
                    <w:t>47</w:t>
                  </w:r>
                  <w:r>
                    <w:rPr>
                      <w:rFonts w:hint="eastAsia" w:ascii="黑体" w:eastAsia="黑体"/>
                      <w:color w:val="000000"/>
                      <w:sz w:val="28"/>
                      <w:szCs w:val="28"/>
                    </w:rPr>
                    <w:t>）</w:t>
                  </w:r>
                </w:p>
                <w:p>
                  <w:pPr>
                    <w:spacing w:line="400" w:lineRule="exact"/>
                    <w:jc w:val="distribute"/>
                    <w:rPr>
                      <w:rFonts w:ascii="黑体" w:eastAsia="黑体"/>
                      <w:sz w:val="28"/>
                      <w:szCs w:val="28"/>
                    </w:rPr>
                  </w:pPr>
                </w:p>
              </w:txbxContent>
            </v:textbox>
          </v:shape>
        </w:pict>
      </w:r>
      <w:r>
        <w:rPr>
          <w:rFonts w:hint="eastAsia" w:ascii="方正小标宋简体" w:hAnsi="方正小标宋简体" w:eastAsia="方正小标宋简体" w:cs="方正小标宋简体"/>
          <w:b w:val="0"/>
          <w:bCs w:val="0"/>
          <w:spacing w:val="0"/>
          <w:sz w:val="44"/>
          <w:szCs w:val="44"/>
        </w:rPr>
        <w:t>盘锦</w:t>
      </w:r>
      <w:r>
        <w:rPr>
          <w:rFonts w:ascii="方正小标宋简体" w:hAnsi="方正小标宋简体" w:eastAsia="方正小标宋简体" w:cs="方正小标宋简体"/>
          <w:b w:val="0"/>
          <w:bCs w:val="0"/>
          <w:spacing w:val="0"/>
          <w:sz w:val="44"/>
          <w:szCs w:val="44"/>
        </w:rPr>
        <w:pict>
          <v:shape id="文本框 2" o:spid="_x0000_s1028" o:spt="202" type="#_x0000_t202" style="position:absolute;left:0pt;margin-left:0.35pt;margin-top:-1.2pt;height:46.5pt;width:144.6pt;z-index:251660288;mso-width-relative:page;mso-height-relative:page;" filled="f" stroked="f" coordsize="21600,21600" o:gfxdata="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YZxKdUAAAAGAQAADwAAAAAAAAABACAAAAAiAAAAZHJzL2Rvd25y&#10;ZXYueG1sUEsBAhQAFAAAAAgAh07iQHOHlBnIAQAAiwMAAA4AAAAAAAAAAQAgAAAAJAEAAGRycy9l&#10;Mm9Eb2MueG1sUEsFBgAAAAAGAAYAWQEAAF4FAAAAAA==&#10;">
            <v:path/>
            <v:fill on="f" focussize="0,0"/>
            <v:stroke on="f"/>
            <v:imagedata o:title=""/>
            <o:lock v:ext="edit" aspectratio="f"/>
            <v:textbox inset="0mm,0mm,0mm,0mm">
              <w:txbxContent>
                <w:p>
                  <w:pPr>
                    <w:spacing w:line="400" w:lineRule="exact"/>
                    <w:jc w:val="distribute"/>
                    <w:rPr>
                      <w:rFonts w:ascii="黑体" w:eastAsia="黑体"/>
                      <w:sz w:val="28"/>
                      <w:szCs w:val="28"/>
                    </w:rPr>
                  </w:pPr>
                </w:p>
              </w:txbxContent>
            </v:textbox>
          </v:shape>
        </w:pict>
      </w:r>
      <w:r>
        <w:rPr>
          <w:rFonts w:hint="eastAsia" w:ascii="方正小标宋简体" w:hAnsi="方正小标宋简体" w:eastAsia="方正小标宋简体" w:cs="方正小标宋简体"/>
          <w:b w:val="0"/>
          <w:bCs w:val="0"/>
          <w:spacing w:val="0"/>
          <w:sz w:val="44"/>
          <w:szCs w:val="44"/>
        </w:rPr>
        <w:t>市大洼区人民检察院工作报</w:t>
      </w:r>
      <w:r>
        <w:rPr>
          <w:rFonts w:hint="eastAsia" w:ascii="方正小标宋简体" w:hAnsi="方正小标宋简体" w:eastAsia="方正小标宋简体" w:cs="方正小标宋简体"/>
          <w:b w:val="0"/>
          <w:bCs w:val="0"/>
          <w:sz w:val="44"/>
          <w:szCs w:val="44"/>
        </w:rPr>
        <w:t>告</w:t>
      </w:r>
    </w:p>
    <w:p>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p>
    <w:p>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r>
        <w:rPr>
          <w:rFonts w:hint="eastAsia" w:ascii="楷体_GB2312" w:hAnsi="楷体_GB2312" w:eastAsia="楷体_GB2312" w:cs="楷体_GB2312"/>
          <w:b w:val="0"/>
          <w:bCs w:val="0"/>
          <w:w w:val="100"/>
          <w:sz w:val="34"/>
          <w:szCs w:val="34"/>
        </w:rPr>
        <w:t>202</w:t>
      </w:r>
      <w:r>
        <w:rPr>
          <w:rFonts w:ascii="楷体_GB2312" w:hAnsi="楷体_GB2312" w:eastAsia="楷体_GB2312" w:cs="楷体_GB2312"/>
          <w:b w:val="0"/>
          <w:bCs w:val="0"/>
          <w:w w:val="100"/>
          <w:sz w:val="34"/>
          <w:szCs w:val="34"/>
        </w:rPr>
        <w:t>4</w:t>
      </w:r>
      <w:r>
        <w:rPr>
          <w:rFonts w:hint="eastAsia" w:ascii="楷体_GB2312" w:hAnsi="楷体_GB2312" w:eastAsia="楷体_GB2312" w:cs="楷体_GB2312"/>
          <w:b w:val="0"/>
          <w:bCs w:val="0"/>
          <w:w w:val="100"/>
          <w:sz w:val="34"/>
          <w:szCs w:val="34"/>
        </w:rPr>
        <w:t>年12月</w:t>
      </w:r>
      <w:r>
        <w:rPr>
          <w:rFonts w:ascii="楷体_GB2312" w:hAnsi="楷体_GB2312" w:eastAsia="楷体_GB2312" w:cs="楷体_GB2312"/>
          <w:b w:val="0"/>
          <w:bCs w:val="0"/>
          <w:w w:val="100"/>
          <w:sz w:val="34"/>
          <w:szCs w:val="34"/>
        </w:rPr>
        <w:t>28</w:t>
      </w:r>
      <w:r>
        <w:rPr>
          <w:rFonts w:hint="eastAsia" w:ascii="楷体_GB2312" w:hAnsi="楷体_GB2312" w:eastAsia="楷体_GB2312" w:cs="楷体_GB2312"/>
          <w:b w:val="0"/>
          <w:bCs w:val="0"/>
          <w:w w:val="100"/>
          <w:sz w:val="34"/>
          <w:szCs w:val="34"/>
        </w:rPr>
        <w:t>日在盘锦市大洼区第十九届人民代表大会</w:t>
      </w:r>
    </w:p>
    <w:p>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r>
        <w:rPr>
          <w:rFonts w:hint="eastAsia" w:ascii="楷体_GB2312" w:hAnsi="楷体_GB2312" w:eastAsia="楷体_GB2312" w:cs="楷体_GB2312"/>
          <w:b w:val="0"/>
          <w:bCs w:val="0"/>
          <w:w w:val="100"/>
          <w:sz w:val="34"/>
          <w:szCs w:val="34"/>
        </w:rPr>
        <w:t>第四次会议第二次全体会议上</w:t>
      </w:r>
    </w:p>
    <w:p>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r>
        <w:rPr>
          <w:rFonts w:hint="eastAsia" w:ascii="楷体_GB2312" w:hAnsi="楷体_GB2312" w:eastAsia="楷体_GB2312" w:cs="楷体_GB2312"/>
          <w:b w:val="0"/>
          <w:bCs w:val="0"/>
          <w:w w:val="100"/>
          <w:sz w:val="34"/>
          <w:szCs w:val="34"/>
        </w:rPr>
        <w:t>盘锦市大洼区人民检察院代检察长  陈涛</w:t>
      </w:r>
    </w:p>
    <w:p>
      <w:pPr>
        <w:keepNext w:val="0"/>
        <w:keepLines w:val="0"/>
        <w:pageBreakBefore w:val="0"/>
        <w:widowControl w:val="0"/>
        <w:kinsoku/>
        <w:wordWrap/>
        <w:overflowPunct/>
        <w:topLinePunct w:val="0"/>
        <w:autoSpaceDE/>
        <w:autoSpaceDN/>
        <w:bidi w:val="0"/>
        <w:adjustRightInd/>
        <w:snapToGrid/>
        <w:spacing w:line="322" w:lineRule="auto"/>
        <w:textAlignment w:val="auto"/>
        <w:rPr>
          <w:rFonts w:ascii="仿宋_GB2312" w:hAnsi="仿宋" w:eastAsia="仿宋_GB2312"/>
          <w:b w:val="0"/>
          <w:bCs w:val="0"/>
          <w:w w:val="100"/>
          <w:sz w:val="34"/>
          <w:szCs w:val="34"/>
        </w:rPr>
      </w:pPr>
    </w:p>
    <w:p>
      <w:pPr>
        <w:keepNext w:val="0"/>
        <w:keepLines w:val="0"/>
        <w:pageBreakBefore w:val="0"/>
        <w:widowControl w:val="0"/>
        <w:kinsoku/>
        <w:wordWrap/>
        <w:overflowPunct/>
        <w:topLinePunct w:val="0"/>
        <w:autoSpaceDE/>
        <w:autoSpaceDN/>
        <w:bidi w:val="0"/>
        <w:adjustRightInd/>
        <w:snapToGrid/>
        <w:spacing w:line="322" w:lineRule="auto"/>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各位代表：</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现在，我代表区检察院向大会报告工作，请予审议。</w:t>
      </w:r>
    </w:p>
    <w:p>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黑体" w:hAnsi="黑体" w:eastAsia="黑体" w:cs="黑体"/>
          <w:b w:val="0"/>
          <w:bCs w:val="0"/>
          <w:sz w:val="34"/>
          <w:szCs w:val="34"/>
        </w:rPr>
      </w:pPr>
      <w:r>
        <w:rPr>
          <w:rFonts w:hint="eastAsia" w:ascii="黑体" w:hAnsi="黑体" w:eastAsia="黑体" w:cs="黑体"/>
          <w:b w:val="0"/>
          <w:bCs w:val="0"/>
          <w:sz w:val="34"/>
          <w:szCs w:val="34"/>
        </w:rPr>
        <w:t>过去一年工作回顾</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ascii="仿宋_GB2312" w:hAnsi="仿宋" w:eastAsia="仿宋_GB2312"/>
          <w:b w:val="0"/>
          <w:bCs w:val="0"/>
          <w:sz w:val="34"/>
          <w:szCs w:val="34"/>
        </w:rPr>
        <w:t>202</w:t>
      </w:r>
      <w:r>
        <w:rPr>
          <w:rFonts w:hint="eastAsia" w:ascii="仿宋_GB2312" w:hAnsi="仿宋" w:eastAsia="仿宋_GB2312"/>
          <w:b w:val="0"/>
          <w:bCs w:val="0"/>
          <w:sz w:val="34"/>
          <w:szCs w:val="34"/>
        </w:rPr>
        <w:t>4年区检察院坚持以习近平新时代中国特色社会主义思想为指导，在区委和上级检察院的坚强领导下，在区人大及其常委会的有力监督、区政府的大力支持和区政协的民主监督下，深入贯彻落实党的二十大精神及二十届二中、三中全会精神，</w:t>
      </w:r>
      <w:r>
        <w:rPr>
          <w:rFonts w:ascii="仿宋_GB2312" w:hAnsi="仿宋" w:eastAsia="仿宋_GB2312"/>
          <w:b w:val="0"/>
          <w:bCs w:val="0"/>
          <w:sz w:val="34"/>
          <w:szCs w:val="34"/>
        </w:rPr>
        <w:t>始终坚持为大局服务</w:t>
      </w:r>
      <w:r>
        <w:rPr>
          <w:rFonts w:hint="eastAsia" w:ascii="仿宋_GB2312" w:hAnsi="仿宋" w:eastAsia="仿宋_GB2312"/>
          <w:b w:val="0"/>
          <w:bCs w:val="0"/>
          <w:sz w:val="34"/>
          <w:szCs w:val="34"/>
        </w:rPr>
        <w:t>、为人民司法、为法治担当，坚决做实“</w:t>
      </w:r>
      <w:r>
        <w:rPr>
          <w:rFonts w:ascii="仿宋_GB2312" w:hAnsi="仿宋" w:eastAsia="仿宋_GB2312"/>
          <w:b w:val="0"/>
          <w:bCs w:val="0"/>
          <w:sz w:val="34"/>
          <w:szCs w:val="34"/>
        </w:rPr>
        <w:t>高质效办好每一个案件</w:t>
      </w:r>
      <w:r>
        <w:rPr>
          <w:rFonts w:hint="eastAsia" w:ascii="仿宋_GB2312" w:hAnsi="仿宋" w:eastAsia="仿宋_GB2312"/>
          <w:b w:val="0"/>
          <w:bCs w:val="0"/>
          <w:sz w:val="34"/>
          <w:szCs w:val="34"/>
        </w:rPr>
        <w:t>”，</w:t>
      </w:r>
      <w:r>
        <w:rPr>
          <w:rFonts w:ascii="仿宋_GB2312" w:hAnsi="仿宋" w:eastAsia="仿宋_GB2312"/>
          <w:b w:val="0"/>
          <w:bCs w:val="0"/>
          <w:sz w:val="34"/>
          <w:szCs w:val="34"/>
        </w:rPr>
        <w:t>各项检察工作迈出新的坚实步伐</w:t>
      </w:r>
      <w:r>
        <w:rPr>
          <w:rFonts w:hint="eastAsia" w:ascii="仿宋_GB2312" w:hAnsi="仿宋" w:eastAsia="仿宋_GB2312"/>
          <w:b w:val="0"/>
          <w:bCs w:val="0"/>
          <w:sz w:val="34"/>
          <w:szCs w:val="34"/>
        </w:rPr>
        <w:t>。现将工作情况报告如下：</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黑体" w:hAnsi="黑体" w:eastAsia="黑体" w:cs="黑体"/>
          <w:b w:val="0"/>
          <w:bCs w:val="0"/>
          <w:sz w:val="34"/>
          <w:szCs w:val="34"/>
        </w:rPr>
      </w:pPr>
      <w:r>
        <w:rPr>
          <w:rFonts w:hint="eastAsia" w:ascii="黑体" w:hAnsi="黑体" w:eastAsia="黑体" w:cs="黑体"/>
          <w:b w:val="0"/>
          <w:bCs w:val="0"/>
          <w:sz w:val="34"/>
          <w:szCs w:val="34"/>
        </w:rPr>
        <w:t>一、牢记为大局服务使命任务，持续为高质量发展注入检察动能</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始终围绕中心大局，积极防风险、保安全、护稳定，创新服务经济社会高质量发展。</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 w:hAnsi="仿宋" w:eastAsia="仿宋" w:cs="仿宋"/>
          <w:b w:val="0"/>
          <w:bCs w:val="0"/>
          <w:color w:val="0000FF"/>
          <w:sz w:val="34"/>
          <w:szCs w:val="34"/>
        </w:rPr>
      </w:pPr>
      <w:r>
        <w:rPr>
          <w:rFonts w:hint="eastAsia" w:ascii="楷体_GB2312" w:hAnsi="楷体_GB2312" w:eastAsia="楷体_GB2312" w:cs="楷体_GB2312"/>
          <w:b w:val="0"/>
          <w:bCs w:val="0"/>
          <w:sz w:val="34"/>
          <w:szCs w:val="34"/>
        </w:rPr>
        <w:t>（一）坚定维护社会稳定。</w:t>
      </w:r>
      <w:r>
        <w:rPr>
          <w:rFonts w:hint="eastAsia" w:ascii="仿宋_GB2312" w:hAnsi="仿宋" w:eastAsia="仿宋_GB2312"/>
          <w:b w:val="0"/>
          <w:bCs w:val="0"/>
          <w:sz w:val="34"/>
          <w:szCs w:val="34"/>
        </w:rPr>
        <w:t>依法严厉打击各类刑事犯罪，全年办理批捕、起诉案件</w:t>
      </w:r>
      <w:r>
        <w:rPr>
          <w:rFonts w:ascii="仿宋_GB2312" w:hAnsi="仿宋" w:eastAsia="仿宋_GB2312"/>
          <w:b w:val="0"/>
          <w:bCs w:val="0"/>
          <w:sz w:val="34"/>
          <w:szCs w:val="34"/>
        </w:rPr>
        <w:t>558</w:t>
      </w:r>
      <w:r>
        <w:rPr>
          <w:rFonts w:hint="eastAsia" w:ascii="仿宋_GB2312" w:hAnsi="仿宋" w:eastAsia="仿宋_GB2312"/>
          <w:b w:val="0"/>
          <w:bCs w:val="0"/>
          <w:sz w:val="34"/>
          <w:szCs w:val="34"/>
        </w:rPr>
        <w:t>件</w:t>
      </w:r>
      <w:r>
        <w:rPr>
          <w:rFonts w:ascii="仿宋_GB2312" w:hAnsi="仿宋" w:eastAsia="仿宋_GB2312"/>
          <w:b w:val="0"/>
          <w:bCs w:val="0"/>
          <w:sz w:val="34"/>
          <w:szCs w:val="34"/>
        </w:rPr>
        <w:t>767</w:t>
      </w:r>
      <w:r>
        <w:rPr>
          <w:rFonts w:hint="eastAsia" w:ascii="仿宋_GB2312" w:hAnsi="仿宋" w:eastAsia="仿宋_GB2312"/>
          <w:b w:val="0"/>
          <w:bCs w:val="0"/>
          <w:sz w:val="34"/>
          <w:szCs w:val="34"/>
        </w:rPr>
        <w:t>人。一是重拳惩治农村黑恶势力犯罪。重点打击治理“村霸”及农村家族、宗族黑恶势力，依法对实施赌博、故意伤害等犯罪的刘某斌等</w:t>
      </w:r>
      <w:r>
        <w:rPr>
          <w:rFonts w:ascii="仿宋_GB2312" w:hAnsi="仿宋" w:eastAsia="仿宋_GB2312"/>
          <w:b w:val="0"/>
          <w:bCs w:val="0"/>
          <w:sz w:val="34"/>
          <w:szCs w:val="34"/>
        </w:rPr>
        <w:t>10</w:t>
      </w:r>
      <w:r>
        <w:rPr>
          <w:rFonts w:hint="eastAsia" w:ascii="仿宋_GB2312" w:hAnsi="仿宋" w:eastAsia="仿宋_GB2312"/>
          <w:b w:val="0"/>
          <w:bCs w:val="0"/>
          <w:sz w:val="34"/>
          <w:szCs w:val="34"/>
        </w:rPr>
        <w:t>人恶势力团伙提起公诉。二是持续深化做实监检配合机制。受理各级监察委员会移送的重大职务犯罪案件</w:t>
      </w:r>
      <w:r>
        <w:rPr>
          <w:rFonts w:ascii="仿宋_GB2312" w:hAnsi="仿宋" w:eastAsia="仿宋_GB2312"/>
          <w:b w:val="0"/>
          <w:bCs w:val="0"/>
          <w:sz w:val="34"/>
          <w:szCs w:val="34"/>
        </w:rPr>
        <w:t>7</w:t>
      </w:r>
      <w:r>
        <w:rPr>
          <w:rFonts w:hint="eastAsia" w:ascii="仿宋_GB2312" w:hAnsi="仿宋" w:eastAsia="仿宋_GB2312"/>
          <w:b w:val="0"/>
          <w:bCs w:val="0"/>
          <w:sz w:val="34"/>
          <w:szCs w:val="34"/>
        </w:rPr>
        <w:t>件</w:t>
      </w:r>
      <w:r>
        <w:rPr>
          <w:rFonts w:ascii="仿宋_GB2312" w:hAnsi="仿宋" w:eastAsia="仿宋_GB2312"/>
          <w:b w:val="0"/>
          <w:bCs w:val="0"/>
          <w:sz w:val="34"/>
          <w:szCs w:val="34"/>
        </w:rPr>
        <w:t>7</w:t>
      </w:r>
      <w:r>
        <w:rPr>
          <w:rFonts w:hint="eastAsia" w:ascii="仿宋_GB2312" w:hAnsi="仿宋" w:eastAsia="仿宋_GB2312"/>
          <w:b w:val="0"/>
          <w:bCs w:val="0"/>
          <w:sz w:val="34"/>
          <w:szCs w:val="34"/>
        </w:rPr>
        <w:t>人。注重形成反腐败合力，办理最高检指定管辖的国企工作人员涉嫌贪污贿赂犯罪案件</w:t>
      </w:r>
      <w:r>
        <w:rPr>
          <w:rFonts w:ascii="仿宋_GB2312" w:hAnsi="仿宋" w:eastAsia="仿宋_GB2312"/>
          <w:b w:val="0"/>
          <w:bCs w:val="0"/>
          <w:sz w:val="34"/>
          <w:szCs w:val="34"/>
        </w:rPr>
        <w:t>3</w:t>
      </w:r>
      <w:r>
        <w:rPr>
          <w:rFonts w:hint="eastAsia" w:ascii="仿宋_GB2312" w:hAnsi="仿宋" w:eastAsia="仿宋_GB2312"/>
          <w:b w:val="0"/>
          <w:bCs w:val="0"/>
          <w:sz w:val="34"/>
          <w:szCs w:val="34"/>
        </w:rPr>
        <w:t>件，为国家挽回经济损失</w:t>
      </w:r>
      <w:r>
        <w:rPr>
          <w:rFonts w:ascii="仿宋_GB2312" w:hAnsi="仿宋" w:eastAsia="仿宋_GB2312"/>
          <w:b w:val="0"/>
          <w:bCs w:val="0"/>
          <w:sz w:val="34"/>
          <w:szCs w:val="34"/>
        </w:rPr>
        <w:t>3100</w:t>
      </w:r>
      <w:r>
        <w:rPr>
          <w:rFonts w:hint="eastAsia" w:ascii="仿宋_GB2312" w:hAnsi="仿宋" w:eastAsia="仿宋_GB2312"/>
          <w:b w:val="0"/>
          <w:bCs w:val="0"/>
          <w:sz w:val="34"/>
          <w:szCs w:val="34"/>
        </w:rPr>
        <w:t>余万元。三是着力打击电信网络犯罪。起诉网络犯罪案件</w:t>
      </w:r>
      <w:r>
        <w:rPr>
          <w:rFonts w:ascii="仿宋_GB2312" w:hAnsi="仿宋" w:eastAsia="仿宋_GB2312"/>
          <w:b w:val="0"/>
          <w:bCs w:val="0"/>
          <w:sz w:val="34"/>
          <w:szCs w:val="34"/>
        </w:rPr>
        <w:t>20</w:t>
      </w:r>
      <w:r>
        <w:rPr>
          <w:rFonts w:hint="eastAsia" w:ascii="仿宋_GB2312" w:hAnsi="仿宋" w:eastAsia="仿宋_GB2312"/>
          <w:b w:val="0"/>
          <w:bCs w:val="0"/>
          <w:sz w:val="34"/>
          <w:szCs w:val="34"/>
        </w:rPr>
        <w:t>件</w:t>
      </w:r>
      <w:r>
        <w:rPr>
          <w:rFonts w:ascii="仿宋_GB2312" w:hAnsi="仿宋" w:eastAsia="仿宋_GB2312"/>
          <w:b w:val="0"/>
          <w:bCs w:val="0"/>
          <w:sz w:val="34"/>
          <w:szCs w:val="34"/>
        </w:rPr>
        <w:t>24</w:t>
      </w:r>
      <w:r>
        <w:rPr>
          <w:rFonts w:hint="eastAsia" w:ascii="仿宋_GB2312" w:hAnsi="仿宋" w:eastAsia="仿宋_GB2312"/>
          <w:b w:val="0"/>
          <w:bCs w:val="0"/>
          <w:sz w:val="34"/>
          <w:szCs w:val="34"/>
        </w:rPr>
        <w:t>人。多角度引导侦查取证，高标准履行指控职责，办理了涉缅北“</w:t>
      </w:r>
      <w:r>
        <w:rPr>
          <w:rFonts w:ascii="仿宋_GB2312" w:hAnsi="仿宋" w:eastAsia="仿宋_GB2312"/>
          <w:b w:val="0"/>
          <w:bCs w:val="0"/>
          <w:sz w:val="34"/>
          <w:szCs w:val="34"/>
        </w:rPr>
        <w:t>7</w:t>
      </w:r>
      <w:r>
        <w:rPr>
          <w:rFonts w:hint="eastAsia" w:ascii="仿宋_GB2312" w:hAnsi="仿宋_GB2312" w:eastAsia="仿宋_GB2312" w:cs="仿宋_GB2312"/>
          <w:b w:val="0"/>
          <w:bCs w:val="0"/>
          <w:sz w:val="34"/>
          <w:szCs w:val="34"/>
        </w:rPr>
        <w:t>·</w:t>
      </w:r>
      <w:r>
        <w:rPr>
          <w:rFonts w:ascii="仿宋_GB2312" w:hAnsi="仿宋_GB2312" w:eastAsia="仿宋_GB2312" w:cs="仿宋_GB2312"/>
          <w:b w:val="0"/>
          <w:bCs w:val="0"/>
          <w:sz w:val="34"/>
          <w:szCs w:val="34"/>
        </w:rPr>
        <w:t>17</w:t>
      </w:r>
      <w:r>
        <w:rPr>
          <w:rFonts w:hint="eastAsia" w:ascii="仿宋_GB2312" w:hAnsi="仿宋" w:eastAsia="仿宋_GB2312"/>
          <w:b w:val="0"/>
          <w:bCs w:val="0"/>
          <w:sz w:val="34"/>
          <w:szCs w:val="34"/>
        </w:rPr>
        <w:t>”电信诈骗案件6件15人。集中办理冒充晚辈诈骗老年人案件</w:t>
      </w:r>
      <w:r>
        <w:rPr>
          <w:rFonts w:ascii="仿宋_GB2312" w:hAnsi="仿宋" w:eastAsia="仿宋_GB2312"/>
          <w:b w:val="0"/>
          <w:bCs w:val="0"/>
          <w:sz w:val="34"/>
          <w:szCs w:val="34"/>
        </w:rPr>
        <w:t>5</w:t>
      </w:r>
      <w:r>
        <w:rPr>
          <w:rFonts w:hint="eastAsia" w:ascii="仿宋_GB2312" w:hAnsi="仿宋" w:eastAsia="仿宋_GB2312"/>
          <w:b w:val="0"/>
          <w:bCs w:val="0"/>
          <w:sz w:val="34"/>
          <w:szCs w:val="34"/>
        </w:rPr>
        <w:t>件</w:t>
      </w:r>
      <w:r>
        <w:rPr>
          <w:rFonts w:ascii="仿宋_GB2312" w:hAnsi="仿宋" w:eastAsia="仿宋_GB2312"/>
          <w:b w:val="0"/>
          <w:bCs w:val="0"/>
          <w:sz w:val="34"/>
          <w:szCs w:val="34"/>
        </w:rPr>
        <w:t>11</w:t>
      </w:r>
      <w:r>
        <w:rPr>
          <w:rFonts w:hint="eastAsia" w:ascii="仿宋_GB2312" w:hAnsi="仿宋" w:eastAsia="仿宋_GB2312"/>
          <w:b w:val="0"/>
          <w:bCs w:val="0"/>
          <w:sz w:val="34"/>
          <w:szCs w:val="34"/>
        </w:rPr>
        <w:t>人，为被害人挽回经济损失20余万元。</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（二）助力防范化解金融风险。</w:t>
      </w:r>
      <w:r>
        <w:rPr>
          <w:rFonts w:hint="eastAsia" w:ascii="仿宋_GB2312" w:hAnsi="仿宋" w:eastAsia="仿宋_GB2312"/>
          <w:b w:val="0"/>
          <w:bCs w:val="0"/>
          <w:sz w:val="34"/>
          <w:szCs w:val="34"/>
        </w:rPr>
        <w:t>一是严惩危害金融秩序</w:t>
      </w:r>
      <w:r>
        <w:rPr>
          <w:rFonts w:hint="eastAsia" w:ascii="仿宋_GB2312" w:hAnsi="仿宋" w:eastAsia="仿宋_GB2312"/>
          <w:b w:val="0"/>
          <w:bCs w:val="0"/>
          <w:sz w:val="34"/>
          <w:szCs w:val="34"/>
        </w:rPr>
        <w:t>犯罪</w:t>
      </w:r>
      <w:r>
        <w:rPr>
          <w:rFonts w:hint="eastAsia"/>
          <w:b w:val="0"/>
          <w:bCs w:val="0"/>
        </w:rPr>
        <w:t>。</w:t>
      </w:r>
      <w:r>
        <w:rPr>
          <w:rFonts w:hint="eastAsia" w:ascii="仿宋_GB2312" w:hAnsi="仿宋" w:eastAsia="仿宋_GB2312"/>
          <w:b w:val="0"/>
          <w:bCs w:val="0"/>
          <w:sz w:val="34"/>
          <w:szCs w:val="34"/>
        </w:rPr>
        <w:t>协同开展非法金融活动专项治理，办理非法吸收公众存款、集资诈骗等犯罪案件3件，涉案金额</w:t>
      </w:r>
      <w:r>
        <w:rPr>
          <w:rFonts w:ascii="仿宋_GB2312" w:hAnsi="仿宋" w:eastAsia="仿宋_GB2312"/>
          <w:b w:val="0"/>
          <w:bCs w:val="0"/>
          <w:sz w:val="34"/>
          <w:szCs w:val="34"/>
        </w:rPr>
        <w:t>8000</w:t>
      </w:r>
      <w:r>
        <w:rPr>
          <w:rFonts w:hint="eastAsia" w:ascii="仿宋_GB2312" w:hAnsi="仿宋" w:eastAsia="仿宋_GB2312"/>
          <w:b w:val="0"/>
          <w:bCs w:val="0"/>
          <w:sz w:val="34"/>
          <w:szCs w:val="34"/>
        </w:rPr>
        <w:t>余万元，挽回经济损失5400余万元。二是全链条打击涉税犯罪，保障国家税收安全。共计批捕虚开增值税专用发票案件3人，起诉6人，挽回国家税款损失</w:t>
      </w:r>
      <w:r>
        <w:rPr>
          <w:rFonts w:ascii="仿宋_GB2312" w:hAnsi="仿宋" w:eastAsia="仿宋_GB2312"/>
          <w:b w:val="0"/>
          <w:bCs w:val="0"/>
          <w:sz w:val="34"/>
          <w:szCs w:val="34"/>
        </w:rPr>
        <w:t>1100</w:t>
      </w:r>
      <w:r>
        <w:rPr>
          <w:rFonts w:hint="eastAsia" w:ascii="仿宋_GB2312" w:hAnsi="仿宋" w:eastAsia="仿宋_GB2312"/>
          <w:b w:val="0"/>
          <w:bCs w:val="0"/>
          <w:sz w:val="34"/>
          <w:szCs w:val="34"/>
        </w:rPr>
        <w:t>余万元。三是加大</w:t>
      </w:r>
      <w:r>
        <w:rPr>
          <w:rFonts w:ascii="仿宋_GB2312" w:hAnsi="仿宋" w:eastAsia="仿宋_GB2312"/>
          <w:b w:val="0"/>
          <w:bCs w:val="0"/>
          <w:sz w:val="34"/>
          <w:szCs w:val="34"/>
        </w:rPr>
        <w:t>对洗钱犯罪的惩治力度</w:t>
      </w:r>
      <w:r>
        <w:rPr>
          <w:rFonts w:hint="eastAsia" w:ascii="仿宋_GB2312" w:hAnsi="仿宋" w:eastAsia="仿宋_GB2312"/>
          <w:b w:val="0"/>
          <w:bCs w:val="0"/>
          <w:sz w:val="34"/>
          <w:szCs w:val="34"/>
        </w:rPr>
        <w:t>。</w:t>
      </w:r>
      <w:r>
        <w:rPr>
          <w:rFonts w:ascii="仿宋_GB2312" w:hAnsi="仿宋" w:eastAsia="仿宋_GB2312"/>
          <w:b w:val="0"/>
          <w:bCs w:val="0"/>
          <w:sz w:val="34"/>
          <w:szCs w:val="34"/>
        </w:rPr>
        <w:t>把反洗钱工作作为服务保障金融安全的重要内容</w:t>
      </w:r>
      <w:r>
        <w:rPr>
          <w:rFonts w:hint="eastAsia" w:ascii="仿宋_GB2312" w:hAnsi="仿宋" w:eastAsia="仿宋_GB2312"/>
          <w:b w:val="0"/>
          <w:bCs w:val="0"/>
          <w:sz w:val="34"/>
          <w:szCs w:val="34"/>
        </w:rPr>
        <w:t>，</w:t>
      </w:r>
      <w:r>
        <w:rPr>
          <w:rFonts w:ascii="仿宋_GB2312" w:hAnsi="仿宋" w:eastAsia="仿宋_GB2312"/>
          <w:b w:val="0"/>
          <w:bCs w:val="0"/>
          <w:sz w:val="34"/>
          <w:szCs w:val="34"/>
        </w:rPr>
        <w:t>坚持上游犯罪、洗钱犯罪同步审查</w:t>
      </w:r>
      <w:r>
        <w:rPr>
          <w:rFonts w:hint="eastAsia" w:ascii="仿宋_GB2312" w:hAnsi="仿宋" w:eastAsia="仿宋_GB2312"/>
          <w:b w:val="0"/>
          <w:bCs w:val="0"/>
          <w:sz w:val="34"/>
          <w:szCs w:val="34"/>
        </w:rPr>
        <w:t>，逐案开展洗钱犯罪线索梳理排查工作。对李某辰非法掩饰其父受贿犯罪所得860余万元依法提起公诉。</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（三）持续优化法治化营商环境。</w:t>
      </w:r>
      <w:r>
        <w:rPr>
          <w:rFonts w:hint="eastAsia" w:ascii="仿宋_GB2312" w:hAnsi="仿宋" w:eastAsia="仿宋_GB2312"/>
          <w:b w:val="0"/>
          <w:bCs w:val="0"/>
          <w:sz w:val="34"/>
          <w:szCs w:val="34"/>
        </w:rPr>
        <w:t>推进“检察护企”专项行动，以高质效办案“护”好一企、促治一片。一是严惩民营企业内部腐败犯罪。依法惩治民营企业关键岗位人员实施的侵害企业利益犯罪。对于某峰职务侵占、诈骗一案开展立案监督，保护民营企业合法权益。二是畅通涉企民事案件司法救济渠道。积极促成某农机汽车有限公司与付某买卖合同纠纷执行监督一案的当事人和解，促使执行案款及时到位。三是全方位开展助企法治服务。多次深入社区、商圈和企业开展以“检护启航”为主题的走访座谈活动，了解企业在经营过程中的法律需求，全力助企纾困解难。</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黑体" w:hAnsi="黑体" w:eastAsia="黑体" w:cs="黑体"/>
          <w:b w:val="0"/>
          <w:bCs w:val="0"/>
          <w:sz w:val="34"/>
          <w:szCs w:val="34"/>
        </w:rPr>
      </w:pPr>
      <w:r>
        <w:rPr>
          <w:rFonts w:hint="eastAsia" w:ascii="黑体" w:hAnsi="黑体" w:eastAsia="黑体" w:cs="黑体"/>
          <w:b w:val="0"/>
          <w:bCs w:val="0"/>
          <w:sz w:val="34"/>
          <w:szCs w:val="34"/>
        </w:rPr>
        <w:t>二、牢记为人民司法宗旨理念，持续为高品质生活提供坚实保障</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聚焦民心所向、民生所急，用情纾解群众急难愁盼，让检察为民可感受、能体验。</w:t>
      </w:r>
    </w:p>
    <w:p>
      <w:pPr>
        <w:pStyle w:val="3"/>
        <w:keepNext w:val="0"/>
        <w:keepLines w:val="0"/>
        <w:pageBreakBefore w:val="0"/>
        <w:widowControl w:val="0"/>
        <w:kinsoku/>
        <w:wordWrap/>
        <w:overflowPunct/>
        <w:topLinePunct w:val="0"/>
        <w:autoSpaceDE/>
        <w:autoSpaceDN/>
        <w:bidi w:val="0"/>
        <w:adjustRightInd/>
        <w:snapToGrid/>
        <w:spacing w:line="322" w:lineRule="auto"/>
        <w:ind w:firstLine="68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（一）以“检护民生”彰显执法温度</w:t>
      </w:r>
      <w:r>
        <w:rPr>
          <w:rFonts w:hint="eastAsia" w:ascii="仿宋_GB2312" w:hAnsi="仿宋" w:eastAsia="仿宋_GB2312"/>
          <w:b w:val="0"/>
          <w:bCs w:val="0"/>
          <w:sz w:val="34"/>
          <w:szCs w:val="34"/>
        </w:rPr>
        <w:t>。一是突出支持起诉为“民”撑腰作用。充分运用“诉前调解+支持起诉+多元救助”办案模式，对弱势群体全方位开展法律咨询、诉前调解，为当事人提供司法支持。全年办理支持起诉案件11件。充分运用检察机关调查核实权，先后办理两起涉智力残疾妇女离婚案件，依法保障困弱妇女在离婚诉讼中的经济利益。二是重点关注涉农领域违规行为。聚焦服务“三农”工作，加大对辖区高标准农田建设和农资经营领域问题摸排力度，共立案8件，助推农业环境发展水平稳步提升。三是着力打击破坏环境资源犯罪。积极发挥 “刑事</w:t>
      </w:r>
      <w:r>
        <w:rPr>
          <w:rFonts w:hint="eastAsia" w:ascii="宋体" w:hAnsi="宋体" w:cs="宋体"/>
          <w:b w:val="0"/>
          <w:bCs w:val="0"/>
          <w:sz w:val="34"/>
          <w:szCs w:val="34"/>
        </w:rPr>
        <w:t>＋</w:t>
      </w:r>
      <w:r>
        <w:rPr>
          <w:rFonts w:hint="eastAsia" w:ascii="仿宋_GB2312" w:hAnsi="仿宋" w:eastAsia="仿宋_GB2312"/>
          <w:b w:val="0"/>
          <w:bCs w:val="0"/>
          <w:sz w:val="34"/>
          <w:szCs w:val="34"/>
        </w:rPr>
        <w:t>公益”办案合力，注重刑事检察与公益诉讼检察职能的有效衔接，通过落实赔偿保证金提存制度督促相关责任人缴纳生态环境修复金。</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（二）持续加强未成年人综合司法保护。</w:t>
      </w:r>
      <w:r>
        <w:rPr>
          <w:rFonts w:hint="eastAsia" w:ascii="仿宋_GB2312" w:hAnsi="仿宋" w:eastAsia="仿宋_GB2312"/>
          <w:b w:val="0"/>
          <w:bCs w:val="0"/>
          <w:sz w:val="34"/>
          <w:szCs w:val="34"/>
        </w:rPr>
        <w:t>今年，我院持续打造的“‘未’你而来”未检工作品牌，荣获“辽宁省优秀未检工作室”称号。全年共集中办理全市涉未成年人案件114件157人。一是立足检察履职，做实“预防就是保护，惩治也是挽救”工作理念。对涉罪未成年人，坚持宽容不纵容，依法提起公诉31人，对犯罪情节较轻、认罪悔罪的，决定不起诉7人。坚持以“零容忍”态度严厉打击强奸、猥亵等性侵未成年人犯罪，对利用教师身份猥亵学生的丛某、祖某胜等人，依法从严惩处并建议从业禁止。二是加强融合发展，推进“四大检察”综合履职。针对日租房、娱乐场所等违规接纳未成年人问题，依法向有关职能部门提出检察建议</w:t>
      </w:r>
      <w:r>
        <w:rPr>
          <w:rFonts w:ascii="仿宋_GB2312" w:hAnsi="仿宋" w:eastAsia="仿宋_GB2312"/>
          <w:b w:val="0"/>
          <w:bCs w:val="0"/>
          <w:sz w:val="34"/>
          <w:szCs w:val="34"/>
        </w:rPr>
        <w:t>5</w:t>
      </w:r>
      <w:r>
        <w:rPr>
          <w:rFonts w:hint="eastAsia" w:ascii="仿宋_GB2312" w:hAnsi="仿宋" w:eastAsia="仿宋_GB2312"/>
          <w:b w:val="0"/>
          <w:bCs w:val="0"/>
          <w:sz w:val="34"/>
          <w:szCs w:val="34"/>
        </w:rPr>
        <w:t>份。立足法治副校长工作机制，开展“法治进校园”等宣传活动</w:t>
      </w:r>
      <w:r>
        <w:rPr>
          <w:rFonts w:ascii="仿宋_GB2312" w:hAnsi="仿宋" w:eastAsia="仿宋_GB2312"/>
          <w:b w:val="0"/>
          <w:bCs w:val="0"/>
          <w:sz w:val="34"/>
          <w:szCs w:val="34"/>
        </w:rPr>
        <w:t>10</w:t>
      </w:r>
      <w:r>
        <w:rPr>
          <w:rFonts w:hint="eastAsia" w:ascii="仿宋_GB2312" w:hAnsi="仿宋" w:eastAsia="仿宋_GB2312"/>
          <w:b w:val="0"/>
          <w:bCs w:val="0"/>
          <w:sz w:val="34"/>
          <w:szCs w:val="34"/>
        </w:rPr>
        <w:t>次。三是落实双向保护，坚持“最有利于未成年人”原则。全年针对未成年人开展心理疏导50余人次。为减少犯罪对学习、就业影响，对32名未成年人犯罪记录予以封存。制定个性化帮教方案，助力3名少年复学、就业，并就适龄义务教育阶段未成年人失学、辍学情况，不断加强与教育部门沟通协作。</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（三）坚持把信访制度优势转化为社会治理效能。</w:t>
      </w:r>
      <w:r>
        <w:rPr>
          <w:rFonts w:hint="eastAsia" w:ascii="仿宋_GB2312" w:hAnsi="仿宋" w:eastAsia="仿宋_GB2312"/>
          <w:b w:val="0"/>
          <w:bCs w:val="0"/>
          <w:sz w:val="34"/>
          <w:szCs w:val="34"/>
        </w:rPr>
        <w:t>积极引入一站式矛盾纠纷化解机制，突出前端引导，以提前介入推动刑事和解。一是推进领导干部接访办信常态化。以“关键少数”发挥“关键作用”，全年领导干部接访办信45件，案（事）项化解率达98%。二是增强矛盾化解社会公信力、支持度。以公开听证、联合走访促</w:t>
      </w:r>
      <w:bookmarkStart w:id="0" w:name="_GoBack"/>
      <w:bookmarkEnd w:id="0"/>
      <w:r>
        <w:rPr>
          <w:rFonts w:hint="eastAsia" w:ascii="仿宋_GB2312" w:hAnsi="仿宋" w:eastAsia="仿宋_GB2312"/>
          <w:b w:val="0"/>
          <w:bCs w:val="0"/>
          <w:sz w:val="34"/>
          <w:szCs w:val="34"/>
        </w:rPr>
        <w:t>矛盾化解，先后对</w:t>
      </w:r>
      <w:r>
        <w:rPr>
          <w:rFonts w:ascii="仿宋_GB2312" w:hAnsi="仿宋" w:eastAsia="仿宋_GB2312"/>
          <w:b w:val="0"/>
          <w:bCs w:val="0"/>
          <w:sz w:val="34"/>
          <w:szCs w:val="34"/>
        </w:rPr>
        <w:t>40</w:t>
      </w:r>
      <w:r>
        <w:rPr>
          <w:rFonts w:hint="eastAsia" w:ascii="仿宋_GB2312" w:hAnsi="仿宋" w:eastAsia="仿宋_GB2312"/>
          <w:b w:val="0"/>
          <w:bCs w:val="0"/>
          <w:sz w:val="34"/>
          <w:szCs w:val="34"/>
        </w:rPr>
        <w:t>件案件开展公开听证，促成</w:t>
      </w:r>
      <w:r>
        <w:rPr>
          <w:rFonts w:ascii="仿宋_GB2312" w:hAnsi="仿宋" w:eastAsia="仿宋_GB2312"/>
          <w:b w:val="0"/>
          <w:bCs w:val="0"/>
          <w:sz w:val="34"/>
          <w:szCs w:val="34"/>
        </w:rPr>
        <w:t>12</w:t>
      </w:r>
      <w:r>
        <w:rPr>
          <w:rFonts w:hint="eastAsia" w:ascii="仿宋_GB2312" w:hAnsi="仿宋" w:eastAsia="仿宋_GB2312"/>
          <w:b w:val="0"/>
          <w:bCs w:val="0"/>
          <w:sz w:val="34"/>
          <w:szCs w:val="34"/>
        </w:rPr>
        <w:t>件</w:t>
      </w:r>
      <w:r>
        <w:rPr>
          <w:rFonts w:ascii="仿宋_GB2312" w:hAnsi="仿宋" w:eastAsia="仿宋_GB2312"/>
          <w:b w:val="0"/>
          <w:bCs w:val="0"/>
          <w:sz w:val="34"/>
          <w:szCs w:val="34"/>
        </w:rPr>
        <w:t>14</w:t>
      </w:r>
      <w:r>
        <w:rPr>
          <w:rFonts w:hint="eastAsia" w:ascii="仿宋_GB2312" w:hAnsi="仿宋" w:eastAsia="仿宋_GB2312"/>
          <w:b w:val="0"/>
          <w:bCs w:val="0"/>
          <w:sz w:val="34"/>
          <w:szCs w:val="34"/>
        </w:rPr>
        <w:t>人轻微刑事案件达成和解。三是加大对贫困人口、残疾人等重点人群救助力度。特别是对农村地区因案致贫、因案返贫的被害人及其近亲属，实现</w:t>
      </w:r>
      <w:r>
        <w:rPr>
          <w:rFonts w:hint="eastAsia" w:ascii="仿宋_GB2312" w:hAnsi="仿宋" w:eastAsia="仿宋_GB2312"/>
          <w:b w:val="0"/>
          <w:bCs w:val="0"/>
          <w:spacing w:val="11"/>
          <w:sz w:val="34"/>
          <w:szCs w:val="34"/>
        </w:rPr>
        <w:t>在检察办案全过程、各环节“应救尽救”“应救即救”。截止目前办理司法救助案件</w:t>
      </w:r>
      <w:r>
        <w:rPr>
          <w:rFonts w:ascii="仿宋_GB2312" w:hAnsi="仿宋" w:eastAsia="仿宋_GB2312"/>
          <w:b w:val="0"/>
          <w:bCs w:val="0"/>
          <w:spacing w:val="11"/>
          <w:sz w:val="34"/>
          <w:szCs w:val="34"/>
        </w:rPr>
        <w:t>5</w:t>
      </w:r>
      <w:r>
        <w:rPr>
          <w:rFonts w:hint="eastAsia" w:ascii="仿宋_GB2312" w:hAnsi="仿宋" w:eastAsia="仿宋_GB2312"/>
          <w:b w:val="0"/>
          <w:bCs w:val="0"/>
          <w:spacing w:val="11"/>
          <w:sz w:val="34"/>
          <w:szCs w:val="34"/>
        </w:rPr>
        <w:t>件，发放司法救助金</w:t>
      </w:r>
      <w:r>
        <w:rPr>
          <w:rFonts w:ascii="仿宋_GB2312" w:hAnsi="仿宋" w:eastAsia="仿宋_GB2312"/>
          <w:b w:val="0"/>
          <w:bCs w:val="0"/>
          <w:spacing w:val="11"/>
          <w:sz w:val="34"/>
          <w:szCs w:val="34"/>
        </w:rPr>
        <w:t>11</w:t>
      </w:r>
      <w:r>
        <w:rPr>
          <w:rFonts w:hint="eastAsia" w:ascii="仿宋_GB2312" w:hAnsi="仿宋" w:eastAsia="仿宋_GB2312"/>
          <w:b w:val="0"/>
          <w:bCs w:val="0"/>
          <w:spacing w:val="11"/>
          <w:sz w:val="34"/>
          <w:szCs w:val="34"/>
        </w:rPr>
        <w:t>万余元。</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黑体" w:hAnsi="黑体" w:eastAsia="黑体" w:cs="黑体"/>
          <w:b w:val="0"/>
          <w:bCs w:val="0"/>
          <w:sz w:val="34"/>
          <w:szCs w:val="34"/>
        </w:rPr>
      </w:pPr>
      <w:r>
        <w:rPr>
          <w:rFonts w:hint="eastAsia" w:ascii="黑体" w:hAnsi="黑体" w:eastAsia="黑体" w:cs="黑体"/>
          <w:b w:val="0"/>
          <w:bCs w:val="0"/>
          <w:sz w:val="34"/>
          <w:szCs w:val="34"/>
        </w:rPr>
        <w:t>三、牢记为法治担当职责要求，持续为高水平法治贡献检察力量</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贯彻落实中共中央《关于加强新时代检察机关法律监督工作的意见》，不断深化监督深度、广度和力度。</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（一）加强刑事检察全流程监督。</w:t>
      </w:r>
      <w:r>
        <w:rPr>
          <w:rFonts w:hint="eastAsia" w:ascii="仿宋_GB2312" w:hAnsi="仿宋" w:eastAsia="仿宋_GB2312"/>
          <w:b w:val="0"/>
          <w:bCs w:val="0"/>
          <w:sz w:val="34"/>
          <w:szCs w:val="34"/>
        </w:rPr>
        <w:t>推动侦查监督与协作配合办公室实质化、规范化运行，监督侦查机关立案1件、撤案</w:t>
      </w:r>
      <w:r>
        <w:rPr>
          <w:rFonts w:ascii="仿宋_GB2312" w:hAnsi="仿宋" w:eastAsia="仿宋_GB2312"/>
          <w:b w:val="0"/>
          <w:bCs w:val="0"/>
          <w:sz w:val="34"/>
          <w:szCs w:val="34"/>
        </w:rPr>
        <w:t>10</w:t>
      </w:r>
      <w:r>
        <w:rPr>
          <w:rFonts w:hint="eastAsia" w:ascii="仿宋_GB2312" w:hAnsi="仿宋" w:eastAsia="仿宋_GB2312"/>
          <w:b w:val="0"/>
          <w:bCs w:val="0"/>
          <w:sz w:val="34"/>
          <w:szCs w:val="34"/>
        </w:rPr>
        <w:t>件，追诉4人，对侦查活动违法情形书面提出纠正意见</w:t>
      </w:r>
      <w:r>
        <w:rPr>
          <w:rFonts w:ascii="仿宋_GB2312" w:hAnsi="仿宋" w:eastAsia="仿宋_GB2312"/>
          <w:b w:val="0"/>
          <w:bCs w:val="0"/>
          <w:sz w:val="34"/>
          <w:szCs w:val="34"/>
        </w:rPr>
        <w:t>10</w:t>
      </w:r>
      <w:r>
        <w:rPr>
          <w:rFonts w:hint="eastAsia" w:ascii="仿宋_GB2312" w:hAnsi="仿宋" w:eastAsia="仿宋_GB2312"/>
          <w:b w:val="0"/>
          <w:bCs w:val="0"/>
          <w:sz w:val="34"/>
          <w:szCs w:val="34"/>
        </w:rPr>
        <w:t>件次。加大刑事裁判、审判及执行活动监督力度，对财产刑执行不当提出监督意见，对羁押场所监管问题提出纠正意见，均被采纳。</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（二）加强民事检察精准监督。</w:t>
      </w:r>
      <w:r>
        <w:rPr>
          <w:rFonts w:hint="eastAsia" w:ascii="仿宋_GB2312" w:hAnsi="仿宋" w:eastAsia="仿宋_GB2312"/>
          <w:b w:val="0"/>
          <w:bCs w:val="0"/>
          <w:sz w:val="34"/>
          <w:szCs w:val="34"/>
        </w:rPr>
        <w:t>深化民事生效裁判监督，发出再审检察建议3件。做实民事审判和执行活动监督，办理检察建议案件10件，促成执行和解2件。加强涉金融领域监督</w:t>
      </w:r>
      <w:r>
        <w:rPr>
          <w:rFonts w:hint="eastAsia" w:ascii="仿宋_GB2312" w:eastAsia="仿宋_GB2312"/>
          <w:b w:val="0"/>
          <w:bCs w:val="0"/>
          <w:sz w:val="34"/>
          <w:szCs w:val="34"/>
        </w:rPr>
        <w:t>，</w:t>
      </w:r>
      <w:r>
        <w:rPr>
          <w:rFonts w:hint="eastAsia" w:ascii="仿宋_GB2312" w:hAnsi="仿宋" w:eastAsia="仿宋_GB2312"/>
          <w:b w:val="0"/>
          <w:bCs w:val="0"/>
          <w:sz w:val="34"/>
          <w:szCs w:val="34"/>
        </w:rPr>
        <w:t>以金融安全促民生保障，高质效办理涉合同、追偿权纠纷案件2件。加大虚假诉讼惩治力度，排查公积金、保险领域等虚假诉讼线索7件，向公安机关移交线索2件。</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（三）加强行政检察效果监督。</w:t>
      </w:r>
      <w:r>
        <w:rPr>
          <w:rFonts w:hint="eastAsia" w:ascii="仿宋_GB2312" w:hAnsi="仿宋" w:eastAsia="仿宋_GB2312"/>
          <w:b w:val="0"/>
          <w:bCs w:val="0"/>
          <w:sz w:val="34"/>
          <w:szCs w:val="34"/>
        </w:rPr>
        <w:t>加大行政诉讼 “诉讼内”监督力度，发出首份再审检察建议，办理审判和执行活动检察建议案件8件。提升司法衔接“诉讼外”监督水平，办理“行刑反向衔接”案件52件，发出检察意见15份，使23人受到相应行政处罚，办理行政违法行为监督案件6件，类案监督2件，实现“三个效果”有机统一。</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（四）加强公益诉讼规范监督。</w:t>
      </w:r>
      <w:r>
        <w:rPr>
          <w:rFonts w:hint="eastAsia" w:ascii="仿宋_GB2312" w:hAnsi="仿宋" w:eastAsia="仿宋_GB2312"/>
          <w:b w:val="0"/>
          <w:bCs w:val="0"/>
          <w:sz w:val="34"/>
          <w:szCs w:val="34"/>
        </w:rPr>
        <w:t>全年共立案办理涉生态环境和资源保护、食品药品安全等传统领域公益诉讼案件</w:t>
      </w:r>
      <w:r>
        <w:rPr>
          <w:rFonts w:ascii="仿宋_GB2312" w:hAnsi="仿宋" w:eastAsia="仿宋_GB2312"/>
          <w:b w:val="0"/>
          <w:bCs w:val="0"/>
          <w:sz w:val="34"/>
          <w:szCs w:val="34"/>
        </w:rPr>
        <w:t>39</w:t>
      </w:r>
      <w:r>
        <w:rPr>
          <w:rFonts w:hint="eastAsia" w:ascii="仿宋_GB2312" w:hAnsi="仿宋" w:eastAsia="仿宋_GB2312"/>
          <w:b w:val="0"/>
          <w:bCs w:val="0"/>
          <w:sz w:val="34"/>
          <w:szCs w:val="34"/>
        </w:rPr>
        <w:t>件。办理涉公共安全、军人权益保护等新领域公益诉讼案件</w:t>
      </w:r>
      <w:r>
        <w:rPr>
          <w:rFonts w:ascii="仿宋_GB2312" w:hAnsi="仿宋" w:eastAsia="仿宋_GB2312"/>
          <w:b w:val="0"/>
          <w:bCs w:val="0"/>
          <w:sz w:val="34"/>
          <w:szCs w:val="34"/>
        </w:rPr>
        <w:t>27</w:t>
      </w:r>
      <w:r>
        <w:rPr>
          <w:rFonts w:hint="eastAsia" w:ascii="仿宋_GB2312" w:hAnsi="仿宋" w:eastAsia="仿宋_GB2312"/>
          <w:b w:val="0"/>
          <w:bCs w:val="0"/>
          <w:sz w:val="34"/>
          <w:szCs w:val="34"/>
        </w:rPr>
        <w:t>件。聚焦水域生态安全，办理的柳某东非法捕捞水产品等3件民事公益诉讼案件被省检察院评为省级“高质效”案件。聚焦民生重点领域，制发检察建议</w:t>
      </w:r>
      <w:r>
        <w:rPr>
          <w:rFonts w:ascii="仿宋_GB2312" w:hAnsi="仿宋" w:eastAsia="仿宋_GB2312"/>
          <w:b w:val="0"/>
          <w:bCs w:val="0"/>
          <w:sz w:val="34"/>
          <w:szCs w:val="34"/>
        </w:rPr>
        <w:t>18</w:t>
      </w:r>
      <w:r>
        <w:rPr>
          <w:rFonts w:hint="eastAsia" w:ascii="仿宋_GB2312" w:hAnsi="仿宋" w:eastAsia="仿宋_GB2312"/>
          <w:b w:val="0"/>
          <w:bCs w:val="0"/>
          <w:sz w:val="34"/>
          <w:szCs w:val="34"/>
        </w:rPr>
        <w:t>份，使残障人士出行更便捷、人民群众饮食更安全。聚焦军人权益保障，以“检察蓝”守护“橄榄绿”，通过制发检察建议，确保军人、军属及“三属”就医优待服务得到落实，营造全社会拥军优属的良好氛围。</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黑体" w:hAnsi="黑体" w:eastAsia="黑体" w:cs="黑体"/>
          <w:b w:val="0"/>
          <w:bCs w:val="0"/>
          <w:sz w:val="34"/>
          <w:szCs w:val="34"/>
        </w:rPr>
      </w:pPr>
      <w:r>
        <w:rPr>
          <w:rFonts w:hint="eastAsia" w:ascii="黑体" w:hAnsi="黑体" w:eastAsia="黑体" w:cs="黑体"/>
          <w:b w:val="0"/>
          <w:bCs w:val="0"/>
          <w:sz w:val="34"/>
          <w:szCs w:val="34"/>
        </w:rPr>
        <w:t>四、牢记为更好发展蓄势强能，持续为高标准履职夯实过硬基础</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始终把固本强基作为有力抓手，锤炼忠诚干净担当政治品格，不断夯实检察工作现代化根基。</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（一）始终坚持政治引领。</w:t>
      </w:r>
      <w:r>
        <w:rPr>
          <w:rFonts w:hint="eastAsia" w:ascii="仿宋_GB2312" w:hAnsi="仿宋" w:eastAsia="仿宋_GB2312"/>
          <w:b w:val="0"/>
          <w:bCs w:val="0"/>
          <w:sz w:val="34"/>
          <w:szCs w:val="34"/>
        </w:rPr>
        <w:t>始终将党的绝对领导融入检察工作全过程、各环节，及时向区委和上级检察机关党组请示报告工作4次。严格落实意识形态责任，管好守住检察机关网络意识形态主阵地，坚持“三同步”原则，运用涉检舆情监控、分析、研判机制，有效处置涉检舆情。加强思想政治教育，落实“第一议题”制度，通过中心组学习、全覆盖政治轮训，切实增强政治定力、纪律定力、道德定力、抵腐定力。</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（二）持续强化队伍建设。</w:t>
      </w:r>
      <w:r>
        <w:rPr>
          <w:rFonts w:hint="eastAsia" w:ascii="仿宋_GB2312" w:hAnsi="仿宋" w:eastAsia="仿宋_GB2312"/>
          <w:b w:val="0"/>
          <w:bCs w:val="0"/>
          <w:sz w:val="34"/>
          <w:szCs w:val="34"/>
        </w:rPr>
        <w:t>聚焦检察业务及应用实际，依托“检察官教检察官”、检校协作、跟班学习、专题培训、练兵竞赛等，锤炼办得好案子、写得了文章、讲得出业务的综合性人才。压实教育培养青年检察人员“传帮带”责任，做好检察人才梯次建设，运用检察官等级晋升考核、干部平时考察识别等机制，激励检察人员主动履职尽责、担当作为。压实全面从严治检主体责任，持续推进防止干预司法“三个规定”落实，全年记录报告有关事项34件。</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楷体_GB2312" w:hAnsi="楷体_GB2312" w:eastAsia="楷体_GB2312" w:cs="楷体_GB2312"/>
          <w:b w:val="0"/>
          <w:bCs w:val="0"/>
          <w:sz w:val="34"/>
          <w:szCs w:val="34"/>
        </w:rPr>
        <w:t>（三）牢固树立接受监督理念。</w:t>
      </w:r>
      <w:r>
        <w:rPr>
          <w:rFonts w:hint="eastAsia" w:ascii="仿宋_GB2312" w:hAnsi="仿宋" w:eastAsia="仿宋_GB2312"/>
          <w:b w:val="0"/>
          <w:bCs w:val="0"/>
          <w:sz w:val="34"/>
          <w:szCs w:val="34"/>
        </w:rPr>
        <w:t>自觉将检察工作置于人大、政协和社会各界的监督之下。认真落实人大及其常委会决议、决定，就公益诉讼工作开展情况积极向人大及其常委会报告。扎实推进司法环节“全过程人民民主”，累计邀请人大代表、政协委员、人民监督员</w:t>
      </w:r>
      <w:r>
        <w:rPr>
          <w:rFonts w:ascii="仿宋_GB2312" w:hAnsi="仿宋" w:eastAsia="仿宋_GB2312"/>
          <w:b w:val="0"/>
          <w:bCs w:val="0"/>
          <w:sz w:val="34"/>
          <w:szCs w:val="34"/>
        </w:rPr>
        <w:t>110</w:t>
      </w:r>
      <w:r>
        <w:rPr>
          <w:rFonts w:hint="eastAsia" w:ascii="仿宋_GB2312" w:hAnsi="仿宋" w:eastAsia="仿宋_GB2312"/>
          <w:b w:val="0"/>
          <w:bCs w:val="0"/>
          <w:sz w:val="34"/>
          <w:szCs w:val="34"/>
        </w:rPr>
        <w:t>余人次参与司法办案、公开听证、检察工作通报等活动。通过门户网站、报刊、新媒体等平台讲好检察故事，各类稿件被省、市级以上媒体采用11篇次。持续深化检务公开，保障律师阅卷</w:t>
      </w:r>
      <w:r>
        <w:rPr>
          <w:rFonts w:ascii="仿宋_GB2312" w:hAnsi="仿宋" w:eastAsia="仿宋_GB2312"/>
          <w:b w:val="0"/>
          <w:bCs w:val="0"/>
          <w:sz w:val="34"/>
          <w:szCs w:val="34"/>
        </w:rPr>
        <w:t>90</w:t>
      </w:r>
      <w:r>
        <w:rPr>
          <w:rFonts w:hint="eastAsia" w:ascii="仿宋_GB2312" w:hAnsi="仿宋" w:eastAsia="仿宋_GB2312"/>
          <w:b w:val="0"/>
          <w:bCs w:val="0"/>
          <w:sz w:val="34"/>
          <w:szCs w:val="34"/>
        </w:rPr>
        <w:t>次。</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回顾全年工作，我们清醒地认识到：服务保障经济社会高质量发展的主动性还需加强，针对性、实效性还需提升；法律监督体系还存在不充分、不平衡情形；队伍司法理念、业务素能与高质量发展还有一定差距。</w:t>
      </w:r>
    </w:p>
    <w:p>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仿宋_GB2312" w:hAnsi="仿宋" w:eastAsia="仿宋_GB2312"/>
          <w:b w:val="0"/>
          <w:bCs w:val="0"/>
          <w:sz w:val="34"/>
          <w:szCs w:val="34"/>
        </w:rPr>
      </w:pPr>
      <w:r>
        <w:rPr>
          <w:rFonts w:hint="eastAsia" w:ascii="黑体" w:hAnsi="黑体" w:eastAsia="黑体" w:cs="黑体"/>
          <w:b w:val="0"/>
          <w:bCs w:val="0"/>
          <w:sz w:val="34"/>
          <w:szCs w:val="34"/>
        </w:rPr>
        <w:t>202</w:t>
      </w:r>
      <w:r>
        <w:rPr>
          <w:rFonts w:ascii="黑体" w:hAnsi="黑体" w:eastAsia="黑体" w:cs="黑体"/>
          <w:b w:val="0"/>
          <w:bCs w:val="0"/>
          <w:sz w:val="34"/>
          <w:szCs w:val="34"/>
        </w:rPr>
        <w:t>5</w:t>
      </w:r>
      <w:r>
        <w:rPr>
          <w:rFonts w:hint="eastAsia" w:ascii="黑体" w:hAnsi="黑体" w:eastAsia="黑体" w:cs="黑体"/>
          <w:b w:val="0"/>
          <w:bCs w:val="0"/>
          <w:sz w:val="34"/>
          <w:szCs w:val="34"/>
        </w:rPr>
        <w:t>年工作安排</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ascii="仿宋_GB2312" w:hAnsi="仿宋" w:eastAsia="仿宋_GB2312"/>
          <w:b w:val="0"/>
          <w:bCs w:val="0"/>
          <w:sz w:val="34"/>
          <w:szCs w:val="34"/>
        </w:rPr>
        <w:t>2025</w:t>
      </w:r>
      <w:r>
        <w:rPr>
          <w:rFonts w:hint="eastAsia" w:ascii="仿宋_GB2312" w:hAnsi="仿宋" w:eastAsia="仿宋_GB2312"/>
          <w:b w:val="0"/>
          <w:bCs w:val="0"/>
          <w:sz w:val="34"/>
          <w:szCs w:val="34"/>
        </w:rPr>
        <w:t>年，我院将认真学习贯彻党的二十届三中全会精神，围绕“夯基础、强能力、提质效、促发展”总体思路，坚持从政治上着眼、从法治上着力，不断巩固深化、完善提升各项检察工作。</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黑体" w:hAnsi="黑体" w:eastAsia="黑体" w:cs="黑体"/>
          <w:b w:val="0"/>
          <w:bCs w:val="0"/>
          <w:sz w:val="34"/>
          <w:szCs w:val="34"/>
        </w:rPr>
      </w:pPr>
      <w:r>
        <w:rPr>
          <w:rFonts w:hint="eastAsia" w:ascii="黑体" w:hAnsi="黑体" w:eastAsia="黑体" w:cs="黑体"/>
          <w:b w:val="0"/>
          <w:bCs w:val="0"/>
          <w:sz w:val="34"/>
          <w:szCs w:val="34"/>
        </w:rPr>
        <w:t>一、担当</w:t>
      </w:r>
      <w:r>
        <w:rPr>
          <w:rFonts w:ascii="黑体" w:hAnsi="黑体" w:eastAsia="黑体" w:cs="黑体"/>
          <w:b w:val="0"/>
          <w:bCs w:val="0"/>
          <w:sz w:val="34"/>
          <w:szCs w:val="34"/>
        </w:rPr>
        <w:t>检察机关的政治责任</w:t>
      </w:r>
      <w:r>
        <w:rPr>
          <w:rFonts w:hint="eastAsia" w:ascii="黑体" w:hAnsi="黑体" w:eastAsia="黑体" w:cs="黑体"/>
          <w:b w:val="0"/>
          <w:bCs w:val="0"/>
          <w:sz w:val="34"/>
          <w:szCs w:val="34"/>
        </w:rPr>
        <w:t>，</w:t>
      </w:r>
      <w:r>
        <w:rPr>
          <w:rFonts w:ascii="黑体" w:hAnsi="黑体" w:eastAsia="黑体" w:cs="黑体"/>
          <w:b w:val="0"/>
          <w:bCs w:val="0"/>
          <w:sz w:val="34"/>
          <w:szCs w:val="34"/>
        </w:rPr>
        <w:t>切实把牢检察工作正确政治方向</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旗帜鲜明讲政治，坚持把党的领导贯穿检察工作各方面、全过程，切实突出强化政治理论武装，严格落实 “第一议题”制度，筑牢政治忠诚思想根基。坚决把贯彻执行党中央决策部署和履行法律监督职责结合起来，把党的绝对领导落实到具体的检察工作中。</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黑体" w:hAnsi="黑体" w:eastAsia="黑体" w:cs="黑体"/>
          <w:b w:val="0"/>
          <w:bCs w:val="0"/>
          <w:sz w:val="34"/>
          <w:szCs w:val="34"/>
        </w:rPr>
      </w:pPr>
      <w:r>
        <w:rPr>
          <w:rFonts w:hint="eastAsia" w:ascii="黑体" w:hAnsi="黑体" w:eastAsia="黑体" w:cs="黑体"/>
          <w:b w:val="0"/>
          <w:bCs w:val="0"/>
          <w:sz w:val="34"/>
          <w:szCs w:val="34"/>
        </w:rPr>
        <w:t>二、坚守</w:t>
      </w:r>
      <w:r>
        <w:rPr>
          <w:rFonts w:ascii="黑体" w:hAnsi="黑体" w:eastAsia="黑体" w:cs="黑体"/>
          <w:b w:val="0"/>
          <w:bCs w:val="0"/>
          <w:sz w:val="34"/>
          <w:szCs w:val="34"/>
        </w:rPr>
        <w:t>服务大局的使命任务</w:t>
      </w:r>
      <w:r>
        <w:rPr>
          <w:rFonts w:hint="eastAsia" w:ascii="黑体" w:hAnsi="黑体" w:eastAsia="黑体" w:cs="黑体"/>
          <w:b w:val="0"/>
          <w:bCs w:val="0"/>
          <w:sz w:val="34"/>
          <w:szCs w:val="34"/>
        </w:rPr>
        <w:t>，</w:t>
      </w:r>
      <w:r>
        <w:rPr>
          <w:rFonts w:ascii="黑体" w:hAnsi="黑体" w:eastAsia="黑体" w:cs="黑体"/>
          <w:b w:val="0"/>
          <w:bCs w:val="0"/>
          <w:sz w:val="34"/>
          <w:szCs w:val="34"/>
        </w:rPr>
        <w:t>全力服务保障经济社会高质量发展</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统筹发展和安全，依法惩治各类危害国家安全和社会稳定的违法犯罪，持续加强民生检察保障。依法严惩毒品犯罪，积极参与禁毒综合治理，努力做到治罪与治理并重。坚持和发展新时代“枫桥经验”，持续提升检察听证、司法救助等工作质效，努力做实检察为民。落实“谁执法谁普法”责任制，深入开展法治宣传教育，促进法治观念深入人心。</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黑体" w:hAnsi="黑体" w:eastAsia="黑体" w:cs="黑体"/>
          <w:b w:val="0"/>
          <w:bCs w:val="0"/>
          <w:sz w:val="34"/>
          <w:szCs w:val="34"/>
        </w:rPr>
      </w:pPr>
      <w:r>
        <w:rPr>
          <w:rFonts w:hint="eastAsia" w:ascii="黑体" w:hAnsi="黑体" w:eastAsia="黑体" w:cs="黑体"/>
          <w:b w:val="0"/>
          <w:bCs w:val="0"/>
          <w:sz w:val="34"/>
          <w:szCs w:val="34"/>
        </w:rPr>
        <w:t>三、秉持</w:t>
      </w:r>
      <w:r>
        <w:rPr>
          <w:rFonts w:ascii="黑体" w:hAnsi="黑体" w:eastAsia="黑体" w:cs="黑体"/>
          <w:b w:val="0"/>
          <w:bCs w:val="0"/>
          <w:sz w:val="34"/>
          <w:szCs w:val="34"/>
        </w:rPr>
        <w:t>公平正义的价值追求</w:t>
      </w:r>
      <w:r>
        <w:rPr>
          <w:rFonts w:hint="eastAsia" w:ascii="黑体" w:hAnsi="黑体" w:eastAsia="黑体" w:cs="黑体"/>
          <w:b w:val="0"/>
          <w:bCs w:val="0"/>
          <w:sz w:val="34"/>
          <w:szCs w:val="34"/>
        </w:rPr>
        <w:t>，</w:t>
      </w:r>
      <w:r>
        <w:rPr>
          <w:rFonts w:ascii="黑体" w:hAnsi="黑体" w:eastAsia="黑体" w:cs="黑体"/>
          <w:b w:val="0"/>
          <w:bCs w:val="0"/>
          <w:sz w:val="34"/>
          <w:szCs w:val="34"/>
        </w:rPr>
        <w:t>忠实履行法律监督工作职责</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自觉担当“加强检察机关法律监督工作”的更重责任，突出一体履职、融合履职。深化侦查监督与协作配合机制建设，共同构建规范高效的执法司法监督制约体系。加强府检联动，深化行刑双向衔接和行政违法行为监督，推动行政争议实质性化解，助力法治政府建设。坚定不移推进数字检察战略，用好大数据法律监督应用平台，推动法律监督从个案办理向类案监督、诉源治理延伸。</w:t>
      </w:r>
    </w:p>
    <w:p>
      <w:pPr>
        <w:keepNext w:val="0"/>
        <w:keepLines w:val="0"/>
        <w:pageBreakBefore w:val="0"/>
        <w:widowControl w:val="0"/>
        <w:kinsoku/>
        <w:wordWrap/>
        <w:overflowPunct/>
        <w:topLinePunct w:val="0"/>
        <w:autoSpaceDE/>
        <w:autoSpaceDN/>
        <w:bidi w:val="0"/>
        <w:adjustRightInd/>
        <w:snapToGrid/>
        <w:spacing w:line="322" w:lineRule="auto"/>
        <w:ind w:firstLine="665" w:firstLineChars="350"/>
        <w:textAlignment w:val="auto"/>
        <w:rPr>
          <w:rFonts w:ascii="黑体" w:hAnsi="黑体" w:eastAsia="黑体" w:cs="黑体"/>
          <w:b w:val="0"/>
          <w:bCs w:val="0"/>
          <w:sz w:val="34"/>
          <w:szCs w:val="34"/>
        </w:rPr>
      </w:pPr>
      <w:r>
        <w:rPr>
          <w:rFonts w:hint="eastAsia"/>
          <w:b w:val="0"/>
          <w:bCs w:val="0"/>
          <w:color w:val="787878"/>
          <w:sz w:val="19"/>
          <w:szCs w:val="19"/>
          <w:shd w:val="clear" w:color="auto" w:fill="FFFFFF"/>
        </w:rPr>
        <w:t> </w:t>
      </w:r>
      <w:r>
        <w:rPr>
          <w:rFonts w:hint="eastAsia" w:ascii="黑体" w:hAnsi="黑体" w:eastAsia="黑体" w:cs="黑体"/>
          <w:b w:val="0"/>
          <w:bCs w:val="0"/>
          <w:sz w:val="34"/>
          <w:szCs w:val="34"/>
        </w:rPr>
        <w:t>四、践行</w:t>
      </w:r>
      <w:r>
        <w:rPr>
          <w:rFonts w:ascii="黑体" w:hAnsi="黑体" w:eastAsia="黑体" w:cs="黑体"/>
          <w:b w:val="0"/>
          <w:bCs w:val="0"/>
          <w:sz w:val="34"/>
          <w:szCs w:val="34"/>
        </w:rPr>
        <w:t>司法为民的履职宗旨</w:t>
      </w:r>
      <w:r>
        <w:rPr>
          <w:rFonts w:hint="eastAsia" w:ascii="黑体" w:hAnsi="黑体" w:eastAsia="黑体" w:cs="黑体"/>
          <w:b w:val="0"/>
          <w:bCs w:val="0"/>
          <w:sz w:val="34"/>
          <w:szCs w:val="34"/>
        </w:rPr>
        <w:t>，锻造高素质专业化检察队伍</w:t>
      </w:r>
    </w:p>
    <w:p>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ascii="仿宋_GB2312" w:hAnsi="仿宋" w:eastAsia="仿宋_GB2312"/>
          <w:b w:val="0"/>
          <w:bCs w:val="0"/>
          <w:sz w:val="34"/>
          <w:szCs w:val="34"/>
        </w:rPr>
      </w:pPr>
      <w:r>
        <w:rPr>
          <w:rFonts w:hint="eastAsia" w:ascii="仿宋_GB2312" w:hAnsi="仿宋" w:eastAsia="仿宋_GB2312"/>
          <w:b w:val="0"/>
          <w:bCs w:val="0"/>
          <w:sz w:val="34"/>
          <w:szCs w:val="34"/>
        </w:rPr>
        <w:t>深入学习习近平总书记关于党的自我革命的重要思想，扎实开展集中性纪律教育，引导检察人员始终把纪律和规矩挺在前面。加强检察权运行监督制约，健全完善上下级、内外部制约监督机制，防止“灯下黑”。持续加强检察人员素能建设，常态化开展政治轮训、同堂培训、业务竞赛、岗位练兵，与时俱进提升政治能力、业务素能，锻造高素质检察队伍。</w:t>
      </w:r>
    </w:p>
    <w:p>
      <w:pPr>
        <w:pStyle w:val="2"/>
        <w:keepNext w:val="0"/>
        <w:keepLines w:val="0"/>
        <w:pageBreakBefore w:val="0"/>
        <w:widowControl w:val="0"/>
        <w:kinsoku/>
        <w:wordWrap/>
        <w:overflowPunct/>
        <w:topLinePunct w:val="0"/>
        <w:autoSpaceDE/>
        <w:autoSpaceDN/>
        <w:bidi w:val="0"/>
        <w:adjustRightInd/>
        <w:snapToGrid/>
        <w:spacing w:line="322" w:lineRule="auto"/>
        <w:ind w:firstLine="680" w:firstLineChars="200"/>
        <w:jc w:val="left"/>
        <w:textAlignment w:val="auto"/>
        <w:rPr>
          <w:rFonts w:hint="eastAsia" w:ascii="仿宋_GB2312" w:hAnsi="仿宋" w:eastAsia="仿宋_GB2312"/>
          <w:b w:val="0"/>
          <w:bCs w:val="0"/>
          <w:sz w:val="34"/>
          <w:szCs w:val="34"/>
        </w:rPr>
      </w:pPr>
      <w:r>
        <w:rPr>
          <w:rFonts w:hint="eastAsia" w:ascii="仿宋_GB2312" w:hAnsi="仿宋" w:eastAsia="仿宋_GB2312"/>
          <w:b w:val="0"/>
          <w:bCs w:val="0"/>
          <w:sz w:val="34"/>
          <w:szCs w:val="34"/>
        </w:rPr>
        <w:t>各位代表，新时代新征程检察工作使命光荣，大洼检察重任在肩。我们将认真落实本次大会决议，始终保持“拼”的劲头、“破”的精神，以实干担当和实绩实效为大洼建设做出更大贡献！</w:t>
      </w:r>
    </w:p>
    <w:p>
      <w:pPr>
        <w:rPr>
          <w:rFonts w:hint="eastAsia" w:ascii="仿宋_GB2312" w:hAnsi="仿宋" w:eastAsia="仿宋_GB2312"/>
          <w:b w:val="0"/>
          <w:bCs w:val="0"/>
          <w:sz w:val="34"/>
          <w:szCs w:val="34"/>
        </w:rPr>
      </w:pPr>
      <w:r>
        <w:rPr>
          <w:rFonts w:hint="eastAsia" w:ascii="仿宋_GB2312" w:hAnsi="仿宋" w:eastAsia="仿宋_GB2312"/>
          <w:b w:val="0"/>
          <w:bCs w:val="0"/>
          <w:sz w:val="34"/>
          <w:szCs w:val="34"/>
        </w:rPr>
        <w:br w:type="page"/>
      </w:r>
    </w:p>
    <w:p>
      <w:pPr>
        <w:ind w:firstLine="680" w:firstLineChars="200"/>
        <w:rPr>
          <w:rFonts w:hint="eastAsia" w:ascii="仿宋_GB2312" w:eastAsia="仿宋_GB2312"/>
          <w:sz w:val="34"/>
          <w:szCs w:val="34"/>
          <w:highlight w:val="none"/>
        </w:rPr>
      </w:pPr>
    </w:p>
    <w:p>
      <w:pPr>
        <w:ind w:firstLine="680" w:firstLineChars="200"/>
        <w:rPr>
          <w:rFonts w:hint="eastAsia" w:ascii="仿宋_GB2312" w:eastAsia="仿宋_GB2312"/>
          <w:sz w:val="34"/>
          <w:szCs w:val="34"/>
          <w:highlight w:val="none"/>
        </w:rPr>
      </w:pPr>
    </w:p>
    <w:p>
      <w:pPr>
        <w:ind w:firstLine="680" w:firstLineChars="200"/>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_GB2312" w:eastAsia="仿宋_GB2312"/>
          <w:sz w:val="34"/>
          <w:szCs w:val="34"/>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720" w:firstLineChars="200"/>
        <w:textAlignment w:val="auto"/>
        <w:rPr>
          <w:rFonts w:hint="eastAsia" w:ascii="仿宋_GB2312" w:eastAsia="仿宋_GB2312"/>
          <w:sz w:val="36"/>
          <w:szCs w:val="36"/>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720" w:firstLineChars="200"/>
        <w:textAlignment w:val="auto"/>
        <w:rPr>
          <w:rFonts w:hint="eastAsia" w:ascii="仿宋_GB2312" w:eastAsia="仿宋_GB2312"/>
          <w:sz w:val="36"/>
          <w:szCs w:val="36"/>
          <w:highlight w:val="none"/>
        </w:rPr>
      </w:pPr>
    </w:p>
    <w:tbl>
      <w:tblPr>
        <w:tblStyle w:val="6"/>
        <w:tblpPr w:leftFromText="180" w:rightFromText="180" w:vertAnchor="text" w:horzAnchor="page" w:tblpXSpec="center" w:tblpY="30"/>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8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787" w:type="dxa"/>
            <w:noWrap w:val="0"/>
            <w:vAlign w:val="center"/>
          </w:tcPr>
          <w:p>
            <w:pPr>
              <w:keepNext w:val="0"/>
              <w:keepLines w:val="0"/>
              <w:pageBreakBefore w:val="0"/>
              <w:widowControl w:val="0"/>
              <w:kinsoku/>
              <w:wordWrap/>
              <w:overflowPunct/>
              <w:topLinePunct w:val="0"/>
              <w:autoSpaceDE/>
              <w:autoSpaceDN/>
              <w:bidi w:val="0"/>
              <w:adjustRightInd/>
              <w:textAlignment w:val="auto"/>
              <w:rPr>
                <w:rFonts w:ascii="仿宋" w:hAnsi="仿宋" w:eastAsia="仿宋" w:cs="仿宋"/>
                <w:sz w:val="30"/>
                <w:szCs w:val="30"/>
                <w:highlight w:val="none"/>
              </w:rPr>
            </w:pPr>
            <w:r>
              <w:rPr>
                <w:rFonts w:hint="eastAsia" w:ascii="仿宋" w:hAnsi="仿宋" w:eastAsia="仿宋" w:cs="仿宋"/>
                <w:sz w:val="28"/>
                <w:szCs w:val="28"/>
                <w:highlight w:val="none"/>
              </w:rPr>
              <w:t>盘锦市大洼区十九届人大</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 xml:space="preserve">次会议秘书处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年12月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日印</w:t>
            </w:r>
          </w:p>
        </w:tc>
      </w:tr>
    </w:tbl>
    <w:p>
      <w:pPr>
        <w:keepNext w:val="0"/>
        <w:keepLines w:val="0"/>
        <w:pageBreakBefore w:val="0"/>
        <w:widowControl w:val="0"/>
        <w:tabs>
          <w:tab w:val="left" w:pos="1279"/>
        </w:tabs>
        <w:kinsoku/>
        <w:wordWrap/>
        <w:overflowPunct/>
        <w:topLinePunct w:val="0"/>
        <w:autoSpaceDE/>
        <w:autoSpaceDN/>
        <w:bidi w:val="0"/>
        <w:adjustRightInd/>
        <w:jc w:val="left"/>
        <w:textAlignment w:val="auto"/>
        <w:rPr>
          <w:rFonts w:hint="eastAsia"/>
          <w:highlight w:val="none"/>
        </w:rPr>
      </w:pPr>
    </w:p>
    <w:p/>
    <w:p/>
    <w:sectPr>
      <w:footerReference r:id="rId3" w:type="default"/>
      <w:pgSz w:w="11906" w:h="16838"/>
      <w:pgMar w:top="2154" w:right="1531" w:bottom="181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0M2Q0NDZhNGZiZDU2ZjZhMzg5MjA1NDBlYzc1ZWIifQ=="/>
    <w:docVar w:name="KSO_WPS_MARK_KEY" w:val="021d4b28-034d-4e37-9349-c32f0572704d"/>
  </w:docVars>
  <w:rsids>
    <w:rsidRoot w:val="003D392F"/>
    <w:rsid w:val="00043523"/>
    <w:rsid w:val="0006420C"/>
    <w:rsid w:val="000E4022"/>
    <w:rsid w:val="000F1ACD"/>
    <w:rsid w:val="0015574A"/>
    <w:rsid w:val="001A15D0"/>
    <w:rsid w:val="001D0221"/>
    <w:rsid w:val="0021193D"/>
    <w:rsid w:val="00243666"/>
    <w:rsid w:val="002A153E"/>
    <w:rsid w:val="003C72BC"/>
    <w:rsid w:val="003D2A67"/>
    <w:rsid w:val="003D392F"/>
    <w:rsid w:val="003E02AC"/>
    <w:rsid w:val="004A1AAB"/>
    <w:rsid w:val="004B5528"/>
    <w:rsid w:val="0050183D"/>
    <w:rsid w:val="00541197"/>
    <w:rsid w:val="00565C80"/>
    <w:rsid w:val="005D1070"/>
    <w:rsid w:val="006771AC"/>
    <w:rsid w:val="006D31B5"/>
    <w:rsid w:val="007548CA"/>
    <w:rsid w:val="00754E20"/>
    <w:rsid w:val="007C6119"/>
    <w:rsid w:val="00907158"/>
    <w:rsid w:val="009861EF"/>
    <w:rsid w:val="00995DFB"/>
    <w:rsid w:val="00A74174"/>
    <w:rsid w:val="00AA6917"/>
    <w:rsid w:val="00AC37D2"/>
    <w:rsid w:val="00B40FCE"/>
    <w:rsid w:val="00BA3283"/>
    <w:rsid w:val="00BE34FB"/>
    <w:rsid w:val="00BF1EDE"/>
    <w:rsid w:val="00C17229"/>
    <w:rsid w:val="00CE7B9C"/>
    <w:rsid w:val="00D0727B"/>
    <w:rsid w:val="00D32383"/>
    <w:rsid w:val="00DE4AD3"/>
    <w:rsid w:val="00E04954"/>
    <w:rsid w:val="00E45940"/>
    <w:rsid w:val="00E66426"/>
    <w:rsid w:val="00EB1A99"/>
    <w:rsid w:val="00EB3C20"/>
    <w:rsid w:val="00F026B0"/>
    <w:rsid w:val="00F41592"/>
    <w:rsid w:val="00F71388"/>
    <w:rsid w:val="00FC4FD4"/>
    <w:rsid w:val="00FD4340"/>
    <w:rsid w:val="029B0379"/>
    <w:rsid w:val="02DA4653"/>
    <w:rsid w:val="0430304E"/>
    <w:rsid w:val="04BF5D5A"/>
    <w:rsid w:val="05132DFF"/>
    <w:rsid w:val="05D651A9"/>
    <w:rsid w:val="0BF11A57"/>
    <w:rsid w:val="0C127A03"/>
    <w:rsid w:val="0E8759DB"/>
    <w:rsid w:val="0F842AB3"/>
    <w:rsid w:val="101E7604"/>
    <w:rsid w:val="11D2230D"/>
    <w:rsid w:val="14535372"/>
    <w:rsid w:val="14C519D6"/>
    <w:rsid w:val="151415D1"/>
    <w:rsid w:val="15851FFD"/>
    <w:rsid w:val="15BF59FE"/>
    <w:rsid w:val="16563754"/>
    <w:rsid w:val="18FA2044"/>
    <w:rsid w:val="19811C7E"/>
    <w:rsid w:val="1A25291C"/>
    <w:rsid w:val="1A8973DA"/>
    <w:rsid w:val="1CB74008"/>
    <w:rsid w:val="1D386721"/>
    <w:rsid w:val="1D7D09BB"/>
    <w:rsid w:val="1FBC7140"/>
    <w:rsid w:val="20BA432A"/>
    <w:rsid w:val="21D86489"/>
    <w:rsid w:val="22D7799D"/>
    <w:rsid w:val="23EF1315"/>
    <w:rsid w:val="26B05859"/>
    <w:rsid w:val="26F37A62"/>
    <w:rsid w:val="2790389A"/>
    <w:rsid w:val="27996AA0"/>
    <w:rsid w:val="295E5843"/>
    <w:rsid w:val="2AA739A9"/>
    <w:rsid w:val="2AB37242"/>
    <w:rsid w:val="2AC47380"/>
    <w:rsid w:val="2CE42372"/>
    <w:rsid w:val="2EA60EA8"/>
    <w:rsid w:val="2EB52402"/>
    <w:rsid w:val="2F5766CC"/>
    <w:rsid w:val="307B438D"/>
    <w:rsid w:val="32541A48"/>
    <w:rsid w:val="3357181D"/>
    <w:rsid w:val="35365422"/>
    <w:rsid w:val="356239D1"/>
    <w:rsid w:val="35625B7F"/>
    <w:rsid w:val="388365F5"/>
    <w:rsid w:val="38AF32D4"/>
    <w:rsid w:val="38CA607D"/>
    <w:rsid w:val="390F2491"/>
    <w:rsid w:val="3B08758C"/>
    <w:rsid w:val="3BC56B89"/>
    <w:rsid w:val="3C7E4456"/>
    <w:rsid w:val="3CF56ED1"/>
    <w:rsid w:val="3D4E4623"/>
    <w:rsid w:val="3F441220"/>
    <w:rsid w:val="41554904"/>
    <w:rsid w:val="421B5DA0"/>
    <w:rsid w:val="422C70A8"/>
    <w:rsid w:val="457C36B4"/>
    <w:rsid w:val="462A3CCD"/>
    <w:rsid w:val="467D7CCC"/>
    <w:rsid w:val="46FA7E7B"/>
    <w:rsid w:val="483C3A41"/>
    <w:rsid w:val="48B159F2"/>
    <w:rsid w:val="499D0A4E"/>
    <w:rsid w:val="4AF74611"/>
    <w:rsid w:val="4CC87871"/>
    <w:rsid w:val="4E617AF8"/>
    <w:rsid w:val="4F370AE4"/>
    <w:rsid w:val="4FAF7C8A"/>
    <w:rsid w:val="503C2F88"/>
    <w:rsid w:val="5191084A"/>
    <w:rsid w:val="522F04A1"/>
    <w:rsid w:val="52CE4E18"/>
    <w:rsid w:val="52D94ABD"/>
    <w:rsid w:val="52F87264"/>
    <w:rsid w:val="535F5E83"/>
    <w:rsid w:val="54805557"/>
    <w:rsid w:val="54F75CCB"/>
    <w:rsid w:val="56BE78D2"/>
    <w:rsid w:val="57E05870"/>
    <w:rsid w:val="5B933296"/>
    <w:rsid w:val="5CD72F29"/>
    <w:rsid w:val="5FD20B59"/>
    <w:rsid w:val="602632AF"/>
    <w:rsid w:val="60700DCC"/>
    <w:rsid w:val="61D56A41"/>
    <w:rsid w:val="61F8197F"/>
    <w:rsid w:val="621A2FA3"/>
    <w:rsid w:val="626B75FF"/>
    <w:rsid w:val="62C01A19"/>
    <w:rsid w:val="642C5748"/>
    <w:rsid w:val="657D6491"/>
    <w:rsid w:val="67135BE3"/>
    <w:rsid w:val="67EC19E9"/>
    <w:rsid w:val="680A04DE"/>
    <w:rsid w:val="6A361BB8"/>
    <w:rsid w:val="6A3B689C"/>
    <w:rsid w:val="6C5D5C2E"/>
    <w:rsid w:val="6C8C105F"/>
    <w:rsid w:val="6DA9025A"/>
    <w:rsid w:val="6E7976FC"/>
    <w:rsid w:val="6ED42673"/>
    <w:rsid w:val="70F31340"/>
    <w:rsid w:val="713B7CE6"/>
    <w:rsid w:val="73E2342C"/>
    <w:rsid w:val="73FD3B49"/>
    <w:rsid w:val="745D73C8"/>
    <w:rsid w:val="747A7849"/>
    <w:rsid w:val="748C3F3E"/>
    <w:rsid w:val="77157495"/>
    <w:rsid w:val="7A9E3B46"/>
    <w:rsid w:val="7DFE37AD"/>
    <w:rsid w:val="7E557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b/>
      <w:sz w:val="44"/>
    </w:rPr>
  </w:style>
  <w:style w:type="paragraph" w:styleId="3">
    <w:name w:val="Normal Indent"/>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22"/>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706</Words>
  <Characters>4027</Characters>
  <Lines>33</Lines>
  <Paragraphs>9</Paragraphs>
  <TotalTime>4</TotalTime>
  <ScaleCrop>false</ScaleCrop>
  <LinksUpToDate>false</LinksUpToDate>
  <CharactersWithSpaces>4724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2024-12-13T07:22:00Z</dcterms:created>
  <dc:creator>User</dc:creator>
  <cp:lastModifiedBy>WPS_1591101554</cp:lastModifiedBy>
  <cp:lastPrinted>2024-12-20T07:28:00Z</cp:lastPrinted>
  <dcterms:modified xsi:type="dcterms:W3CDTF">2024-12-21T08:41:29Z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C6D48A9DCB6B40C985D4D46C6130096E_13</vt:lpwstr>
  </property>
</Properties>
</file>