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6913">
      <w:pPr>
        <w:keepNext w:val="0"/>
        <w:keepLines w:val="0"/>
        <w:pageBreakBefore w:val="0"/>
        <w:widowControl w:val="0"/>
        <w:kinsoku/>
        <w:wordWrap/>
        <w:overflowPunct/>
        <w:topLinePunct w:val="0"/>
        <w:autoSpaceDE/>
        <w:autoSpaceDN/>
        <w:bidi w:val="0"/>
        <w:adjustRightInd/>
        <w:snapToGrid/>
        <w:spacing w:before="1405" w:beforeLines="450" w:line="600" w:lineRule="exact"/>
        <w:jc w:val="center"/>
        <w:textAlignment w:val="auto"/>
        <w:rPr>
          <w:rFonts w:ascii="方正小标宋简体" w:hAnsi="方正小标宋简体" w:eastAsia="方正小标宋简体" w:cs="方正小标宋简体"/>
          <w:b w:val="0"/>
          <w:bCs w:val="0"/>
          <w:sz w:val="44"/>
          <w:szCs w:val="44"/>
        </w:rPr>
      </w:pPr>
      <w:bookmarkStart w:id="6" w:name="_GoBack"/>
      <w:bookmarkEnd w:id="6"/>
      <w:r>
        <w:rPr>
          <w:rFonts w:hint="eastAsia" w:ascii="方正小标宋简体" w:hAnsi="方正小标宋简体" w:eastAsia="方正小标宋简体" w:cs="方正小标宋简体"/>
          <w:b w:val="0"/>
          <w:bCs w:val="0"/>
          <w:spacing w:val="0"/>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-18415</wp:posOffset>
                </wp:positionV>
                <wp:extent cx="1836420" cy="590550"/>
                <wp:effectExtent l="0" t="0" r="11430" b="0"/>
                <wp:wrapNone/>
                <wp:docPr id="3" name="文本框 3"/>
                <wp:cNvGraphicFramePr/>
                <a:graphic xmlns:a="http://schemas.openxmlformats.org/drawingml/2006/main">
                  <a:graphicData uri="http://schemas.microsoft.com/office/word/2010/wordprocessingShape">
                    <wps:wsp>
                      <wps:cNvSpPr txBox="1"/>
                      <wps:spPr>
                        <a:xfrm>
                          <a:off x="0" y="0"/>
                          <a:ext cx="1836420" cy="590550"/>
                        </a:xfrm>
                        <a:prstGeom prst="rect">
                          <a:avLst/>
                        </a:prstGeom>
                        <a:solidFill>
                          <a:srgbClr val="FFFFFF"/>
                        </a:solidFill>
                        <a:ln>
                          <a:noFill/>
                        </a:ln>
                        <a:effectLst/>
                      </wps:spPr>
                      <wps:txbx>
                        <w:txbxContent>
                          <w:p w14:paraId="736D2195">
                            <w:pPr>
                              <w:spacing w:line="400" w:lineRule="exact"/>
                              <w:jc w:val="distribute"/>
                              <w:rPr>
                                <w:rFonts w:ascii="黑体" w:eastAsia="黑体"/>
                                <w:color w:val="000000"/>
                                <w:spacing w:val="14"/>
                                <w:sz w:val="28"/>
                                <w:szCs w:val="28"/>
                              </w:rPr>
                            </w:pPr>
                            <w:r>
                              <w:rPr>
                                <w:rFonts w:hint="eastAsia" w:ascii="黑体" w:eastAsia="黑体"/>
                                <w:color w:val="000000"/>
                                <w:spacing w:val="14"/>
                                <w:sz w:val="28"/>
                                <w:szCs w:val="28"/>
                              </w:rPr>
                              <w:t>盘锦市大洼区</w:t>
                            </w:r>
                            <w:r>
                              <w:rPr>
                                <w:rFonts w:hint="eastAsia" w:ascii="黑体" w:eastAsia="黑体"/>
                                <w:color w:val="000000"/>
                                <w:spacing w:val="14"/>
                                <w:sz w:val="28"/>
                                <w:szCs w:val="28"/>
                                <w:lang w:val="en-US" w:eastAsia="zh-CN"/>
                              </w:rPr>
                              <w:t>十九</w:t>
                            </w:r>
                            <w:r>
                              <w:rPr>
                                <w:rFonts w:hint="eastAsia" w:ascii="黑体" w:eastAsia="黑体"/>
                                <w:color w:val="000000"/>
                                <w:spacing w:val="14"/>
                                <w:sz w:val="28"/>
                                <w:szCs w:val="28"/>
                              </w:rPr>
                              <w:t>届</w:t>
                            </w:r>
                          </w:p>
                          <w:p w14:paraId="4E4A01E4">
                            <w:pPr>
                              <w:spacing w:line="400" w:lineRule="exact"/>
                              <w:jc w:val="distribute"/>
                              <w:rPr>
                                <w:rFonts w:ascii="黑体" w:eastAsia="黑体"/>
                                <w:sz w:val="28"/>
                                <w:szCs w:val="28"/>
                              </w:rPr>
                            </w:pPr>
                            <w:r>
                              <w:rPr>
                                <w:rFonts w:hint="eastAsia" w:ascii="黑体" w:eastAsia="黑体"/>
                                <w:color w:val="000000"/>
                                <w:sz w:val="28"/>
                                <w:szCs w:val="28"/>
                              </w:rPr>
                              <w:t>人大</w:t>
                            </w:r>
                            <w:r>
                              <w:rPr>
                                <w:rFonts w:hint="eastAsia" w:ascii="黑体" w:eastAsia="黑体"/>
                                <w:color w:val="000000"/>
                                <w:sz w:val="28"/>
                                <w:szCs w:val="28"/>
                                <w:lang w:val="en-US" w:eastAsia="zh-CN"/>
                              </w:rPr>
                              <w:t>XX</w:t>
                            </w:r>
                            <w:r>
                              <w:rPr>
                                <w:rFonts w:hint="eastAsia" w:ascii="黑体" w:eastAsia="黑体"/>
                                <w:color w:val="000000"/>
                                <w:sz w:val="28"/>
                                <w:szCs w:val="28"/>
                              </w:rPr>
                              <w:t>次会议文件（</w:t>
                            </w:r>
                            <w:r>
                              <w:rPr>
                                <w:rFonts w:hint="eastAsia" w:ascii="黑体" w:eastAsia="黑体"/>
                                <w:color w:val="000000"/>
                                <w:sz w:val="28"/>
                                <w:szCs w:val="28"/>
                                <w:lang w:val="en-US" w:eastAsia="zh-CN"/>
                              </w:rPr>
                              <w:t>XX</w:t>
                            </w:r>
                            <w:r>
                              <w:rPr>
                                <w:rFonts w:hint="eastAsia" w:ascii="黑体" w:eastAsia="黑体"/>
                                <w:color w:val="000000"/>
                                <w:sz w:val="28"/>
                                <w:szCs w:val="28"/>
                              </w:rPr>
                              <w:t>）</w:t>
                            </w:r>
                          </w:p>
                          <w:p w14:paraId="15AFC71F">
                            <w:pPr>
                              <w:spacing w:line="400" w:lineRule="exact"/>
                              <w:jc w:val="distribute"/>
                              <w:rPr>
                                <w:rFonts w:ascii="黑体" w:eastAsia="黑体"/>
                                <w:sz w:val="28"/>
                                <w:szCs w:val="28"/>
                              </w:rPr>
                            </w:pPr>
                          </w:p>
                        </w:txbxContent>
                      </wps:txbx>
                      <wps:bodyPr lIns="0" tIns="0" rIns="0" bIns="0" upright="1"/>
                    </wps:wsp>
                  </a:graphicData>
                </a:graphic>
              </wp:anchor>
            </w:drawing>
          </mc:Choice>
          <mc:Fallback>
            <w:pict>
              <v:shape id="_x0000_s1026" o:spid="_x0000_s1026" o:spt="202" type="#_x0000_t202" style="position:absolute;left:0pt;margin-left:1.3pt;margin-top:-1.45pt;height:46.5pt;width:144.6pt;z-index:251661312;mso-width-relative:page;mso-height-relative:page;" fillcolor="#FFFFFF" filled="t" stroked="f" coordsize="21600,21600" o:gfxdata="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oEIWrWAAAABwEAAA8AAAAAAAAAAQAgAAAA&#10;IgAAAGRycy9kb3ducmV2LnhtbFBLAQIUABQAAAAIAIdO4kAqZ80Y1AEAAKkDAAAOAAAAAAAAAAEA&#10;IAAAACUBAABkcnMvZTJvRG9jLnhtbFBLBQYAAAAABgAGAFkBAABrBQAAAAA=&#10;">
                <v:fill on="t" focussize="0,0"/>
                <v:stroke on="f"/>
                <v:imagedata o:title=""/>
                <o:lock v:ext="edit" aspectratio="f"/>
                <v:textbox inset="0mm,0mm,0mm,0mm">
                  <w:txbxContent>
                    <w:p w14:paraId="736D2195">
                      <w:pPr>
                        <w:spacing w:line="400" w:lineRule="exact"/>
                        <w:jc w:val="distribute"/>
                        <w:rPr>
                          <w:rFonts w:ascii="黑体" w:eastAsia="黑体"/>
                          <w:color w:val="000000"/>
                          <w:spacing w:val="14"/>
                          <w:sz w:val="28"/>
                          <w:szCs w:val="28"/>
                        </w:rPr>
                      </w:pPr>
                      <w:r>
                        <w:rPr>
                          <w:rFonts w:hint="eastAsia" w:ascii="黑体" w:eastAsia="黑体"/>
                          <w:color w:val="000000"/>
                          <w:spacing w:val="14"/>
                          <w:sz w:val="28"/>
                          <w:szCs w:val="28"/>
                        </w:rPr>
                        <w:t>盘锦市大洼区</w:t>
                      </w:r>
                      <w:r>
                        <w:rPr>
                          <w:rFonts w:hint="eastAsia" w:ascii="黑体" w:eastAsia="黑体"/>
                          <w:color w:val="000000"/>
                          <w:spacing w:val="14"/>
                          <w:sz w:val="28"/>
                          <w:szCs w:val="28"/>
                          <w:lang w:val="en-US" w:eastAsia="zh-CN"/>
                        </w:rPr>
                        <w:t>十九</w:t>
                      </w:r>
                      <w:r>
                        <w:rPr>
                          <w:rFonts w:hint="eastAsia" w:ascii="黑体" w:eastAsia="黑体"/>
                          <w:color w:val="000000"/>
                          <w:spacing w:val="14"/>
                          <w:sz w:val="28"/>
                          <w:szCs w:val="28"/>
                        </w:rPr>
                        <w:t>届</w:t>
                      </w:r>
                    </w:p>
                    <w:p w14:paraId="4E4A01E4">
                      <w:pPr>
                        <w:spacing w:line="400" w:lineRule="exact"/>
                        <w:jc w:val="distribute"/>
                        <w:rPr>
                          <w:rFonts w:ascii="黑体" w:eastAsia="黑体"/>
                          <w:sz w:val="28"/>
                          <w:szCs w:val="28"/>
                        </w:rPr>
                      </w:pPr>
                      <w:r>
                        <w:rPr>
                          <w:rFonts w:hint="eastAsia" w:ascii="黑体" w:eastAsia="黑体"/>
                          <w:color w:val="000000"/>
                          <w:sz w:val="28"/>
                          <w:szCs w:val="28"/>
                        </w:rPr>
                        <w:t>人大</w:t>
                      </w:r>
                      <w:r>
                        <w:rPr>
                          <w:rFonts w:hint="eastAsia" w:ascii="黑体" w:eastAsia="黑体"/>
                          <w:color w:val="000000"/>
                          <w:sz w:val="28"/>
                          <w:szCs w:val="28"/>
                          <w:lang w:val="en-US" w:eastAsia="zh-CN"/>
                        </w:rPr>
                        <w:t>XX</w:t>
                      </w:r>
                      <w:r>
                        <w:rPr>
                          <w:rFonts w:hint="eastAsia" w:ascii="黑体" w:eastAsia="黑体"/>
                          <w:color w:val="000000"/>
                          <w:sz w:val="28"/>
                          <w:szCs w:val="28"/>
                        </w:rPr>
                        <w:t>次会议文件（</w:t>
                      </w:r>
                      <w:r>
                        <w:rPr>
                          <w:rFonts w:hint="eastAsia" w:ascii="黑体" w:eastAsia="黑体"/>
                          <w:color w:val="000000"/>
                          <w:sz w:val="28"/>
                          <w:szCs w:val="28"/>
                          <w:lang w:val="en-US" w:eastAsia="zh-CN"/>
                        </w:rPr>
                        <w:t>XX</w:t>
                      </w:r>
                      <w:r>
                        <w:rPr>
                          <w:rFonts w:hint="eastAsia" w:ascii="黑体" w:eastAsia="黑体"/>
                          <w:color w:val="000000"/>
                          <w:sz w:val="28"/>
                          <w:szCs w:val="28"/>
                        </w:rPr>
                        <w:t>）</w:t>
                      </w:r>
                    </w:p>
                    <w:p w14:paraId="15AFC71F">
                      <w:pPr>
                        <w:spacing w:line="400" w:lineRule="exact"/>
                        <w:jc w:val="distribute"/>
                        <w:rPr>
                          <w:rFonts w:ascii="黑体" w:eastAsia="黑体"/>
                          <w:sz w:val="28"/>
                          <w:szCs w:val="28"/>
                        </w:rPr>
                      </w:pPr>
                    </w:p>
                  </w:txbxContent>
                </v:textbox>
              </v:shape>
            </w:pict>
          </mc:Fallback>
        </mc:AlternateContent>
      </w:r>
      <w:r>
        <w:rPr>
          <w:rFonts w:hint="eastAsia" w:ascii="方正小标宋简体" w:hAnsi="方正小标宋简体" w:eastAsia="方正小标宋简体" w:cs="方正小标宋简体"/>
          <w:b w:val="0"/>
          <w:bCs w:val="0"/>
          <w:spacing w:val="0"/>
          <w:sz w:val="44"/>
          <w:szCs w:val="44"/>
        </w:rPr>
        <w:t>盘锦</w:t>
      </w:r>
      <w:r>
        <w:rPr>
          <w:rFonts w:ascii="方正小标宋简体" w:hAnsi="方正小标宋简体" w:eastAsia="方正小标宋简体" w:cs="方正小标宋简体"/>
          <w:b w:val="0"/>
          <w:bCs w:val="0"/>
          <w:spacing w:val="0"/>
          <w:sz w:val="44"/>
          <w:szCs w:val="44"/>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-15240</wp:posOffset>
                </wp:positionV>
                <wp:extent cx="1836420" cy="590550"/>
                <wp:effectExtent l="0" t="0" r="0" b="0"/>
                <wp:wrapNone/>
                <wp:docPr id="2" name="文本框 2"/>
                <wp:cNvGraphicFramePr/>
                <a:graphic xmlns:a="http://schemas.openxmlformats.org/drawingml/2006/main">
                  <a:graphicData uri="http://schemas.microsoft.com/office/word/2010/wordprocessingShape">
                    <wps:wsp>
                      <wps:cNvSpPr txBox="1"/>
                      <wps:spPr>
                        <a:xfrm>
                          <a:off x="976630" y="1352550"/>
                          <a:ext cx="1836420" cy="590550"/>
                        </a:xfrm>
                        <a:prstGeom prst="rect">
                          <a:avLst/>
                        </a:prstGeom>
                        <a:noFill/>
                        <a:ln>
                          <a:noFill/>
                        </a:ln>
                        <a:effectLst/>
                      </wps:spPr>
                      <wps:txbx>
                        <w:txbxContent>
                          <w:p w14:paraId="4DFB6F43">
                            <w:pPr>
                              <w:spacing w:line="400" w:lineRule="exact"/>
                              <w:jc w:val="distribute"/>
                              <w:rPr>
                                <w:rFonts w:ascii="黑体" w:eastAsia="黑体"/>
                                <w:sz w:val="28"/>
                                <w:szCs w:val="28"/>
                              </w:rPr>
                            </w:pPr>
                          </w:p>
                        </w:txbxContent>
                      </wps:txbx>
                      <wps:bodyPr lIns="0" tIns="0" rIns="0" bIns="0" upright="1"/>
                    </wps:wsp>
                  </a:graphicData>
                </a:graphic>
              </wp:anchor>
            </w:drawing>
          </mc:Choice>
          <mc:Fallback>
            <w:pict>
              <v:shape id="_x0000_s1026" o:spid="_x0000_s1026" o:spt="202" type="#_x0000_t202" style="position:absolute;left:0pt;margin-left:0.35pt;margin-top:-1.2pt;height:46.5pt;width:144.6pt;z-index:251660288;mso-width-relative:page;mso-height-relative:page;" filled="f" stroked="f" coordsize="21600,21600" o:gfxdata="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YZxKdUAAAAGAQAADwAAAAAAAAABACAAAAAiAAAAZHJzL2Rvd25y&#10;ZXYueG1sUEsBAhQAFAAAAAgAh07iQHOHlBnIAQAAiwMAAA4AAAAAAAAAAQAgAAAAJAEAAGRycy9l&#10;Mm9Eb2MueG1sUEsFBgAAAAAGAAYAWQEAAF4FAAAAAA==&#10;">
                <v:fill on="f" focussize="0,0"/>
                <v:stroke on="f"/>
                <v:imagedata o:title=""/>
                <o:lock v:ext="edit" aspectratio="f"/>
                <v:textbox inset="0mm,0mm,0mm,0mm">
                  <w:txbxContent>
                    <w:p w14:paraId="4DFB6F43">
                      <w:pPr>
                        <w:spacing w:line="400" w:lineRule="exact"/>
                        <w:jc w:val="distribute"/>
                        <w:rPr>
                          <w:rFonts w:ascii="黑体" w:eastAsia="黑体"/>
                          <w:sz w:val="28"/>
                          <w:szCs w:val="28"/>
                        </w:rPr>
                      </w:pPr>
                    </w:p>
                  </w:txbxContent>
                </v:textbox>
              </v:shape>
            </w:pict>
          </mc:Fallback>
        </mc:AlternateContent>
      </w:r>
      <w:r>
        <w:rPr>
          <w:rFonts w:hint="eastAsia" w:ascii="方正小标宋简体" w:hAnsi="方正小标宋简体" w:eastAsia="方正小标宋简体" w:cs="方正小标宋简体"/>
          <w:b w:val="0"/>
          <w:bCs w:val="0"/>
          <w:spacing w:val="0"/>
          <w:sz w:val="44"/>
          <w:szCs w:val="44"/>
        </w:rPr>
        <w:t>市大洼区人民检察院工作报</w:t>
      </w:r>
      <w:r>
        <w:rPr>
          <w:rFonts w:hint="eastAsia" w:ascii="方正小标宋简体" w:hAnsi="方正小标宋简体" w:eastAsia="方正小标宋简体" w:cs="方正小标宋简体"/>
          <w:b w:val="0"/>
          <w:bCs w:val="0"/>
          <w:sz w:val="44"/>
          <w:szCs w:val="44"/>
        </w:rPr>
        <w:t>告</w:t>
      </w:r>
    </w:p>
    <w:p w14:paraId="6DD29D77">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p>
    <w:p w14:paraId="22B0EDF3">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202</w:t>
      </w:r>
      <w:r>
        <w:rPr>
          <w:rFonts w:hint="eastAsia" w:ascii="楷体_GB2312" w:hAnsi="楷体_GB2312" w:eastAsia="楷体_GB2312" w:cs="楷体_GB2312"/>
          <w:b w:val="0"/>
          <w:bCs w:val="0"/>
          <w:w w:val="100"/>
          <w:sz w:val="34"/>
          <w:szCs w:val="34"/>
          <w:lang w:val="en-US" w:eastAsia="zh-CN"/>
        </w:rPr>
        <w:t>5</w:t>
      </w:r>
      <w:r>
        <w:rPr>
          <w:rFonts w:hint="eastAsia" w:ascii="楷体_GB2312" w:hAnsi="楷体_GB2312" w:eastAsia="楷体_GB2312" w:cs="楷体_GB2312"/>
          <w:b w:val="0"/>
          <w:bCs w:val="0"/>
          <w:w w:val="100"/>
          <w:sz w:val="34"/>
          <w:szCs w:val="34"/>
        </w:rPr>
        <w:t>年</w:t>
      </w:r>
      <w:r>
        <w:rPr>
          <w:rFonts w:hint="eastAsia" w:ascii="楷体_GB2312" w:hAnsi="楷体_GB2312" w:eastAsia="楷体_GB2312" w:cs="楷体_GB2312"/>
          <w:b w:val="0"/>
          <w:bCs w:val="0"/>
          <w:w w:val="100"/>
          <w:sz w:val="34"/>
          <w:szCs w:val="34"/>
          <w:lang w:val="en-US" w:eastAsia="zh-CN"/>
        </w:rPr>
        <w:t>12</w:t>
      </w:r>
      <w:r>
        <w:rPr>
          <w:rFonts w:hint="eastAsia" w:ascii="楷体_GB2312" w:hAnsi="楷体_GB2312" w:eastAsia="楷体_GB2312" w:cs="楷体_GB2312"/>
          <w:b w:val="0"/>
          <w:bCs w:val="0"/>
          <w:w w:val="100"/>
          <w:sz w:val="34"/>
          <w:szCs w:val="34"/>
        </w:rPr>
        <w:t>月</w:t>
      </w:r>
      <w:r>
        <w:rPr>
          <w:rFonts w:hint="eastAsia" w:ascii="楷体_GB2312" w:hAnsi="楷体_GB2312" w:eastAsia="楷体_GB2312" w:cs="楷体_GB2312"/>
          <w:b w:val="0"/>
          <w:bCs w:val="0"/>
          <w:w w:val="100"/>
          <w:sz w:val="34"/>
          <w:szCs w:val="34"/>
          <w:lang w:val="en-US" w:eastAsia="zh-CN"/>
        </w:rPr>
        <w:t>31</w:t>
      </w:r>
      <w:r>
        <w:rPr>
          <w:rFonts w:hint="eastAsia" w:ascii="楷体_GB2312" w:hAnsi="楷体_GB2312" w:eastAsia="楷体_GB2312" w:cs="楷体_GB2312"/>
          <w:b w:val="0"/>
          <w:bCs w:val="0"/>
          <w:w w:val="100"/>
          <w:sz w:val="34"/>
          <w:szCs w:val="34"/>
        </w:rPr>
        <w:t>日在盘锦市大洼区第</w:t>
      </w:r>
      <w:r>
        <w:rPr>
          <w:rFonts w:hint="eastAsia" w:ascii="楷体_GB2312" w:hAnsi="楷体_GB2312" w:eastAsia="楷体_GB2312" w:cs="楷体_GB2312"/>
          <w:b w:val="0"/>
          <w:bCs w:val="0"/>
          <w:w w:val="100"/>
          <w:sz w:val="34"/>
          <w:szCs w:val="34"/>
          <w:lang w:val="en-US" w:eastAsia="zh-CN"/>
        </w:rPr>
        <w:t>十九</w:t>
      </w:r>
      <w:r>
        <w:rPr>
          <w:rFonts w:hint="eastAsia" w:ascii="楷体_GB2312" w:hAnsi="楷体_GB2312" w:eastAsia="楷体_GB2312" w:cs="楷体_GB2312"/>
          <w:b w:val="0"/>
          <w:bCs w:val="0"/>
          <w:w w:val="100"/>
          <w:sz w:val="34"/>
          <w:szCs w:val="34"/>
        </w:rPr>
        <w:t>届人民代表大会</w:t>
      </w:r>
    </w:p>
    <w:p w14:paraId="7806AE4F">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第</w:t>
      </w:r>
      <w:r>
        <w:rPr>
          <w:rFonts w:hint="eastAsia" w:ascii="楷体_GB2312" w:hAnsi="楷体_GB2312" w:eastAsia="楷体_GB2312" w:cs="楷体_GB2312"/>
          <w:b w:val="0"/>
          <w:bCs w:val="0"/>
          <w:w w:val="100"/>
          <w:sz w:val="34"/>
          <w:szCs w:val="34"/>
          <w:lang w:val="en-US" w:eastAsia="zh-CN"/>
        </w:rPr>
        <w:t>XX</w:t>
      </w:r>
      <w:r>
        <w:rPr>
          <w:rFonts w:hint="eastAsia" w:ascii="楷体_GB2312" w:hAnsi="楷体_GB2312" w:eastAsia="楷体_GB2312" w:cs="楷体_GB2312"/>
          <w:b w:val="0"/>
          <w:bCs w:val="0"/>
          <w:w w:val="100"/>
          <w:sz w:val="34"/>
          <w:szCs w:val="34"/>
        </w:rPr>
        <w:t>次会议第</w:t>
      </w:r>
      <w:r>
        <w:rPr>
          <w:rFonts w:hint="eastAsia" w:ascii="楷体_GB2312" w:hAnsi="楷体_GB2312" w:eastAsia="楷体_GB2312" w:cs="楷体_GB2312"/>
          <w:b w:val="0"/>
          <w:bCs w:val="0"/>
          <w:w w:val="100"/>
          <w:sz w:val="34"/>
          <w:szCs w:val="34"/>
          <w:lang w:val="en-US" w:eastAsia="zh-CN"/>
        </w:rPr>
        <w:t>XX</w:t>
      </w:r>
      <w:r>
        <w:rPr>
          <w:rFonts w:hint="eastAsia" w:ascii="楷体_GB2312" w:hAnsi="楷体_GB2312" w:eastAsia="楷体_GB2312" w:cs="楷体_GB2312"/>
          <w:b w:val="0"/>
          <w:bCs w:val="0"/>
          <w:w w:val="100"/>
          <w:sz w:val="34"/>
          <w:szCs w:val="34"/>
        </w:rPr>
        <w:t>次全体会议上</w:t>
      </w:r>
    </w:p>
    <w:p w14:paraId="67763AFC">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楷体_GB2312" w:hAnsi="楷体_GB2312" w:eastAsia="楷体_GB2312" w:cs="楷体_GB2312"/>
          <w:b w:val="0"/>
          <w:bCs w:val="0"/>
          <w:w w:val="100"/>
          <w:sz w:val="34"/>
          <w:szCs w:val="34"/>
        </w:rPr>
      </w:pPr>
      <w:r>
        <w:rPr>
          <w:rFonts w:hint="eastAsia" w:ascii="楷体_GB2312" w:hAnsi="楷体_GB2312" w:eastAsia="楷体_GB2312" w:cs="楷体_GB2312"/>
          <w:b w:val="0"/>
          <w:bCs w:val="0"/>
          <w:w w:val="100"/>
          <w:sz w:val="34"/>
          <w:szCs w:val="34"/>
        </w:rPr>
        <w:t>盘锦市大洼区人民检察院检察长  陈涛</w:t>
      </w:r>
    </w:p>
    <w:p w14:paraId="55EE5771">
      <w:pPr>
        <w:keepNext w:val="0"/>
        <w:keepLines w:val="0"/>
        <w:pageBreakBefore w:val="0"/>
        <w:widowControl w:val="0"/>
        <w:kinsoku/>
        <w:wordWrap/>
        <w:overflowPunct/>
        <w:topLinePunct w:val="0"/>
        <w:autoSpaceDE/>
        <w:autoSpaceDN/>
        <w:bidi w:val="0"/>
        <w:adjustRightInd/>
        <w:snapToGrid/>
        <w:spacing w:line="322" w:lineRule="auto"/>
        <w:textAlignment w:val="auto"/>
        <w:rPr>
          <w:rFonts w:ascii="仿宋_GB2312" w:hAnsi="仿宋" w:eastAsia="仿宋_GB2312"/>
          <w:b w:val="0"/>
          <w:bCs w:val="0"/>
          <w:w w:val="100"/>
          <w:sz w:val="34"/>
          <w:szCs w:val="34"/>
        </w:rPr>
      </w:pPr>
    </w:p>
    <w:p w14:paraId="039C4A7B">
      <w:pPr>
        <w:keepNext w:val="0"/>
        <w:keepLines w:val="0"/>
        <w:pageBreakBefore w:val="0"/>
        <w:widowControl w:val="0"/>
        <w:kinsoku/>
        <w:wordWrap/>
        <w:overflowPunct/>
        <w:topLinePunct w:val="0"/>
        <w:autoSpaceDE/>
        <w:autoSpaceDN/>
        <w:bidi w:val="0"/>
        <w:adjustRightInd/>
        <w:snapToGrid/>
        <w:spacing w:line="322" w:lineRule="auto"/>
        <w:textAlignment w:val="auto"/>
        <w:rPr>
          <w:rFonts w:ascii="仿宋_GB2312" w:hAnsi="仿宋" w:eastAsia="仿宋_GB2312"/>
          <w:b w:val="0"/>
          <w:bCs w:val="0"/>
          <w:sz w:val="34"/>
          <w:szCs w:val="34"/>
          <w:highlight w:val="none"/>
        </w:rPr>
      </w:pPr>
      <w:r>
        <w:rPr>
          <w:rFonts w:hint="eastAsia" w:ascii="仿宋_GB2312" w:hAnsi="仿宋" w:eastAsia="仿宋_GB2312"/>
          <w:b w:val="0"/>
          <w:bCs w:val="0"/>
          <w:sz w:val="34"/>
          <w:szCs w:val="34"/>
          <w:highlight w:val="none"/>
        </w:rPr>
        <w:t>各位代表：</w:t>
      </w:r>
    </w:p>
    <w:p w14:paraId="0B41342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 w:eastAsia="仿宋_GB2312"/>
          <w:b w:val="0"/>
          <w:bCs w:val="0"/>
          <w:sz w:val="34"/>
          <w:szCs w:val="34"/>
          <w:highlight w:val="none"/>
          <w:lang w:val="en-US" w:eastAsia="zh-CN"/>
        </w:rPr>
      </w:pPr>
      <w:r>
        <w:rPr>
          <w:rFonts w:hint="eastAsia" w:ascii="仿宋_GB2312" w:hAnsi="仿宋" w:eastAsia="仿宋_GB2312"/>
          <w:b w:val="0"/>
          <w:bCs w:val="0"/>
          <w:sz w:val="34"/>
          <w:szCs w:val="34"/>
          <w:highlight w:val="none"/>
        </w:rPr>
        <w:t>现在，我代表区检察院向大会报告工作，请予审议</w:t>
      </w:r>
      <w:r>
        <w:rPr>
          <w:rFonts w:hint="eastAsia" w:ascii="仿宋_GB2312" w:hAnsi="仿宋" w:eastAsia="仿宋_GB2312"/>
          <w:b w:val="0"/>
          <w:bCs w:val="0"/>
          <w:sz w:val="34"/>
          <w:szCs w:val="34"/>
          <w:highlight w:val="none"/>
          <w:lang w:eastAsia="zh-CN"/>
        </w:rPr>
        <w:t>，</w:t>
      </w:r>
      <w:r>
        <w:rPr>
          <w:rFonts w:hint="eastAsia" w:ascii="仿宋_GB2312" w:hAnsi="仿宋" w:eastAsia="仿宋_GB2312"/>
          <w:b w:val="0"/>
          <w:bCs w:val="0"/>
          <w:sz w:val="34"/>
          <w:szCs w:val="34"/>
          <w:highlight w:val="none"/>
          <w:lang w:val="en-US" w:eastAsia="zh-CN"/>
        </w:rPr>
        <w:t>并请政协委员和其他列席人员提出意见。</w:t>
      </w:r>
    </w:p>
    <w:p w14:paraId="5B1F6677">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黑体" w:hAnsi="黑体" w:eastAsia="黑体" w:cs="黑体"/>
          <w:b w:val="0"/>
          <w:bCs w:val="0"/>
          <w:sz w:val="34"/>
          <w:szCs w:val="34"/>
          <w:highlight w:val="none"/>
        </w:rPr>
      </w:pPr>
      <w:r>
        <w:rPr>
          <w:rFonts w:hint="eastAsia" w:ascii="黑体" w:hAnsi="黑体" w:eastAsia="黑体" w:cs="黑体"/>
          <w:b w:val="0"/>
          <w:bCs w:val="0"/>
          <w:sz w:val="34"/>
          <w:szCs w:val="34"/>
          <w:highlight w:val="none"/>
          <w:lang w:val="en-US" w:eastAsia="zh-CN"/>
        </w:rPr>
        <w:t>2025年</w:t>
      </w:r>
      <w:r>
        <w:rPr>
          <w:rFonts w:hint="eastAsia" w:ascii="黑体" w:hAnsi="黑体" w:eastAsia="黑体" w:cs="黑体"/>
          <w:b w:val="0"/>
          <w:bCs w:val="0"/>
          <w:sz w:val="34"/>
          <w:szCs w:val="34"/>
          <w:highlight w:val="none"/>
        </w:rPr>
        <w:t>工作回顾</w:t>
      </w:r>
    </w:p>
    <w:p w14:paraId="1CCCB773">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sz w:val="34"/>
          <w:szCs w:val="34"/>
          <w:highlight w:val="none"/>
        </w:rPr>
      </w:pPr>
      <w:r>
        <w:rPr>
          <w:rFonts w:hint="eastAsia" w:ascii="仿宋_GB2312" w:hAnsi="仿宋" w:eastAsia="仿宋_GB2312"/>
          <w:b w:val="0"/>
          <w:bCs w:val="0"/>
          <w:sz w:val="34"/>
          <w:szCs w:val="34"/>
          <w:highlight w:val="none"/>
          <w:lang w:val="en-US" w:eastAsia="zh-CN"/>
        </w:rPr>
        <w:t>2025年以来，区检察院在大洼区委和市检察院的坚强领导下，</w:t>
      </w:r>
      <w:r>
        <w:rPr>
          <w:rFonts w:hint="eastAsia" w:ascii="仿宋_GB2312" w:hAnsi="仿宋" w:eastAsia="仿宋_GB2312"/>
          <w:b w:val="0"/>
          <w:bCs w:val="0"/>
          <w:sz w:val="34"/>
          <w:szCs w:val="34"/>
          <w:highlight w:val="none"/>
        </w:rPr>
        <w:t>在区人大及其常委会的有力监督、区政府的大力支持和区政协的民主监督下，坚持以习近平新时代中国特色社会主义思想为指导，</w:t>
      </w:r>
      <w:r>
        <w:rPr>
          <w:rFonts w:hint="eastAsia" w:ascii="仿宋_GB2312" w:hAnsi="仿宋" w:eastAsia="仿宋_GB2312"/>
          <w:b w:val="0"/>
          <w:bCs w:val="0"/>
          <w:sz w:val="34"/>
          <w:szCs w:val="34"/>
          <w:highlight w:val="none"/>
          <w:lang w:val="en-US" w:eastAsia="zh-CN"/>
        </w:rPr>
        <w:t>全面贯彻党的二十大和二十届历次全会精神，</w:t>
      </w:r>
      <w:r>
        <w:rPr>
          <w:rFonts w:hint="eastAsia" w:ascii="仿宋_GB2312" w:hAnsi="仿宋" w:eastAsia="仿宋_GB2312"/>
          <w:b w:val="0"/>
          <w:bCs w:val="0"/>
          <w:sz w:val="34"/>
          <w:szCs w:val="34"/>
          <w:highlight w:val="none"/>
        </w:rPr>
        <w:t>努力做实为大局服务、为人民司法、为法治担当，各项检察工作迈出新的坚实步伐。现将工作情况报告如下：</w:t>
      </w:r>
    </w:p>
    <w:p w14:paraId="23AD60F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rPr>
        <w:t>一、</w:t>
      </w:r>
      <w:r>
        <w:rPr>
          <w:rFonts w:hint="eastAsia" w:ascii="黑体" w:hAnsi="黑体" w:eastAsia="黑体" w:cs="黑体"/>
          <w:b w:val="0"/>
          <w:bCs w:val="0"/>
          <w:sz w:val="34"/>
          <w:szCs w:val="34"/>
          <w:highlight w:val="none"/>
          <w:lang w:val="en-US" w:eastAsia="zh-CN"/>
        </w:rPr>
        <w:t>强化政治引领，在服务大局中锚定前进方向</w:t>
      </w:r>
    </w:p>
    <w:p w14:paraId="69268866">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b w:val="0"/>
          <w:bCs w:val="0"/>
          <w:sz w:val="34"/>
          <w:szCs w:val="34"/>
          <w:highlight w:val="none"/>
          <w:lang w:val="en-US" w:eastAsia="zh-CN"/>
        </w:rPr>
      </w:pPr>
      <w:r>
        <w:rPr>
          <w:rFonts w:hint="eastAsia" w:ascii="仿宋_GB2312" w:hAnsi="仿宋_GB2312" w:eastAsia="仿宋_GB2312" w:cs="仿宋_GB2312"/>
          <w:b w:val="0"/>
          <w:bCs w:val="0"/>
          <w:sz w:val="34"/>
          <w:szCs w:val="34"/>
          <w:highlight w:val="none"/>
          <w:lang w:val="en-US" w:eastAsia="zh-CN"/>
        </w:rPr>
        <w:t>一年来，我们不断擦亮检察机关鲜明政治底色，切实把检察履职体现和落实到大洼法治建设全过程、各环节。</w:t>
      </w:r>
    </w:p>
    <w:p w14:paraId="41D4FCFD">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highlight w:val="yellow"/>
          <w:lang w:val="en-US" w:eastAsia="zh-CN"/>
        </w:rPr>
      </w:pPr>
      <w:r>
        <w:rPr>
          <w:rFonts w:hint="eastAsia" w:ascii="楷体_GB2312" w:hAnsi="楷体_GB2312" w:eastAsia="楷体_GB2312" w:cs="楷体_GB2312"/>
          <w:b w:val="0"/>
          <w:bCs w:val="0"/>
          <w:sz w:val="34"/>
          <w:szCs w:val="34"/>
          <w:highlight w:val="none"/>
          <w:lang w:val="en-US" w:eastAsia="zh-CN"/>
        </w:rPr>
        <w:t>（一）坚持党对检察工作的绝对领导。</w:t>
      </w:r>
      <w:r>
        <w:rPr>
          <w:rFonts w:hint="eastAsia" w:ascii="仿宋_GB2312" w:hAnsi="仿宋_GB2312" w:eastAsia="仿宋_GB2312" w:cs="仿宋_GB2312"/>
          <w:b w:val="0"/>
          <w:bCs w:val="0"/>
          <w:sz w:val="34"/>
          <w:szCs w:val="34"/>
          <w:highlight w:val="none"/>
          <w:lang w:val="en-US" w:eastAsia="zh-CN"/>
        </w:rPr>
        <w:t>全面加强检察机关党的建设，认真落实“第一议题”制度，累计开展相关学习41次。严格落实意识形态工作责任制，加强对意识形态和网络意识形态阵地建设。深入贯彻落实《中国共产党政法工作条例》，严守政治纪律和政治规矩，主动请示报告重点工作、重大敏感案事件42件次。</w:t>
      </w:r>
    </w:p>
    <w:p w14:paraId="540B497D">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b w:val="0"/>
          <w:bCs w:val="0"/>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（二）坚持以严的基调持续正风肃纪。</w:t>
      </w:r>
      <w:r>
        <w:rPr>
          <w:rFonts w:hint="eastAsia" w:ascii="仿宋_GB2312" w:hAnsi="仿宋_GB2312" w:eastAsia="仿宋_GB2312" w:cs="仿宋_GB2312"/>
          <w:b w:val="0"/>
          <w:bCs w:val="0"/>
          <w:sz w:val="34"/>
          <w:szCs w:val="34"/>
          <w:highlight w:val="none"/>
          <w:lang w:val="en-US" w:eastAsia="zh-CN"/>
        </w:rPr>
        <w:t>持续抓好防止干预司法“三个规定”落实，主动记录报告事项52件，形成“逢问必录”的工作作风。深入推进市委“作风建设年”活动和区委纪律作风整顿专项行动，积极开展自查整改，修订完善有关制度机制12项，以制度刚性锻造担当作为。</w:t>
      </w:r>
    </w:p>
    <w:p w14:paraId="5371D7A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楷体_GB2312" w:hAnsi="楷体_GB2312" w:eastAsia="楷体_GB2312" w:cs="楷体_GB2312"/>
          <w:b w:val="0"/>
          <w:bCs w:val="0"/>
          <w:sz w:val="34"/>
          <w:szCs w:val="34"/>
          <w:highlight w:val="none"/>
          <w:lang w:val="en-US" w:eastAsia="zh-CN"/>
        </w:rPr>
        <w:t>（三）坚持守正创新中落实改革任务。</w:t>
      </w:r>
      <w:r>
        <w:rPr>
          <w:rFonts w:hint="eastAsia" w:ascii="仿宋_GB2312" w:hAnsi="仿宋_GB2312" w:eastAsia="仿宋_GB2312" w:cs="仿宋_GB2312"/>
          <w:b w:val="0"/>
          <w:bCs w:val="0"/>
          <w:sz w:val="34"/>
          <w:szCs w:val="34"/>
          <w:highlight w:val="none"/>
          <w:lang w:val="en-US" w:eastAsia="zh-CN"/>
        </w:rPr>
        <w:t>一体抓实“三个管理”，打造“经纬讲堂”“教-学-研”双循环教培品牌。细化检察官权责清单，全面准确落实司法责任制。大力实施数字检察战略，应用10个大数据监督模型立案17件。充分发挥未成年人案件办理集中管辖优势，深化“‘未’你而来”品牌建设，推动未成年人综合保护。</w:t>
      </w:r>
    </w:p>
    <w:p w14:paraId="193E8968">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二、聚焦职能定位，在履职尽责中展现检察作为</w:t>
      </w:r>
    </w:p>
    <w:p w14:paraId="079D78C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一年来，我们紧紧围绕大洼中心工作目标，在综合履职中助力区域经济社会高质量发展。</w:t>
      </w:r>
    </w:p>
    <w:p w14:paraId="72886A36">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（一）惩治刑事犯罪，坚决维护社会安定和人民安宁。</w:t>
      </w:r>
      <w:r>
        <w:rPr>
          <w:rFonts w:hint="eastAsia" w:ascii="仿宋_GB2312" w:hAnsi="仿宋_GB2312" w:eastAsia="仿宋_GB2312" w:cs="仿宋_GB2312"/>
          <w:b w:val="0"/>
          <w:bCs w:val="0"/>
          <w:sz w:val="34"/>
          <w:szCs w:val="34"/>
          <w:lang w:val="en-US" w:eastAsia="zh-CN"/>
        </w:rPr>
        <w:t>贯彻总体国家安全观，依法惩治各类刑事犯罪，</w:t>
      </w:r>
      <w:r>
        <w:rPr>
          <w:rFonts w:hint="eastAsia" w:ascii="仿宋_GB2312" w:hAnsi="仿宋_GB2312" w:eastAsia="仿宋_GB2312" w:cs="仿宋_GB2312"/>
          <w:b w:val="0"/>
          <w:bCs w:val="0"/>
          <w:sz w:val="34"/>
          <w:szCs w:val="34"/>
          <w:highlight w:val="none"/>
          <w:lang w:val="en-US" w:eastAsia="zh-CN"/>
        </w:rPr>
        <w:t>全年受理刑事案件366件513人，批准逮捕87件102人，起诉183件249人，稳慎办理肖某某故意伤害致人死亡等暴力犯罪案件19件。严厉打击新型网络违法犯罪，依法办理刘某等7人涉缅北电信诈骗案，挽回经济损失50余万元</w:t>
      </w:r>
      <w:bookmarkStart w:id="0" w:name="OLE_LINK3"/>
      <w:bookmarkStart w:id="1" w:name="OLE_LINK7"/>
      <w:r>
        <w:rPr>
          <w:rFonts w:hint="eastAsia" w:ascii="仿宋_GB2312" w:hAnsi="仿宋_GB2312" w:eastAsia="仿宋_GB2312" w:cs="仿宋_GB2312"/>
          <w:b w:val="0"/>
          <w:bCs w:val="0"/>
          <w:sz w:val="34"/>
          <w:szCs w:val="34"/>
          <w:highlight w:val="none"/>
          <w:lang w:val="en-US" w:eastAsia="zh-CN"/>
        </w:rPr>
        <w:t>。全面准确落实宽严相济刑事政策，适用认罪认罚从宽制度209件257人，无逮捕必要不批捕104人，适用相对不起诉35件38人</w:t>
      </w:r>
      <w:bookmarkEnd w:id="0"/>
      <w:r>
        <w:rPr>
          <w:rFonts w:hint="eastAsia" w:ascii="仿宋_GB2312" w:hAnsi="仿宋_GB2312" w:eastAsia="仿宋_GB2312" w:cs="仿宋_GB2312"/>
          <w:b w:val="0"/>
          <w:bCs w:val="0"/>
          <w:sz w:val="34"/>
          <w:szCs w:val="34"/>
          <w:highlight w:val="none"/>
          <w:lang w:val="en-US" w:eastAsia="zh-CN"/>
        </w:rPr>
        <w:t>。</w:t>
      </w:r>
      <w:bookmarkEnd w:id="1"/>
      <w:r>
        <w:rPr>
          <w:rFonts w:hint="eastAsia" w:ascii="仿宋_GB2312" w:hAnsi="仿宋_GB2312" w:eastAsia="仿宋_GB2312" w:cs="仿宋_GB2312"/>
          <w:b w:val="0"/>
          <w:bCs w:val="0"/>
          <w:sz w:val="34"/>
          <w:szCs w:val="34"/>
          <w:highlight w:val="none"/>
          <w:lang w:val="en-US" w:eastAsia="zh-CN"/>
        </w:rPr>
        <w:t>深化监检协同推进反腐败斗争，受理贪污贿赂等职务犯罪4件4人，依法办理最</w:t>
      </w:r>
      <w:r>
        <w:rPr>
          <w:rFonts w:hint="eastAsia" w:ascii="仿宋_GB2312" w:hAnsi="仿宋_GB2312" w:eastAsia="仿宋_GB2312" w:cs="仿宋_GB2312"/>
          <w:b w:val="0"/>
          <w:bCs w:val="0"/>
          <w:sz w:val="34"/>
          <w:szCs w:val="34"/>
          <w:lang w:val="en-US" w:eastAsia="zh-CN"/>
        </w:rPr>
        <w:t>高检指定管辖的费某某贪污案，有力维护良好政治生态。</w:t>
      </w:r>
    </w:p>
    <w:p w14:paraId="3C0330B8">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（二）护航经济发展，优化营商环境激发市场主体活力。</w:t>
      </w:r>
      <w:r>
        <w:rPr>
          <w:rFonts w:hint="eastAsia" w:ascii="仿宋_GB2312" w:hAnsi="仿宋_GB2312" w:eastAsia="仿宋_GB2312" w:cs="仿宋_GB2312"/>
          <w:b w:val="0"/>
          <w:bCs w:val="0"/>
          <w:color w:val="auto"/>
          <w:sz w:val="34"/>
          <w:szCs w:val="34"/>
          <w:lang w:val="en-US" w:eastAsia="zh-CN"/>
        </w:rPr>
        <w:t>依法批捕非法经营等破坏市场经济秩序犯罪1件1人，起诉5件2</w:t>
      </w:r>
      <w:r>
        <w:rPr>
          <w:rFonts w:hint="eastAsia" w:ascii="仿宋_GB2312" w:hAnsi="仿宋_GB2312" w:eastAsia="仿宋_GB2312" w:cs="仿宋_GB2312"/>
          <w:b w:val="0"/>
          <w:bCs w:val="0"/>
          <w:color w:val="auto"/>
          <w:sz w:val="34"/>
          <w:szCs w:val="34"/>
          <w:highlight w:val="none"/>
          <w:lang w:val="en-US" w:eastAsia="zh-CN"/>
        </w:rPr>
        <w:t>1人。</w:t>
      </w:r>
      <w:r>
        <w:rPr>
          <w:rFonts w:hint="eastAsia" w:ascii="仿宋_GB2312" w:hAnsi="仿宋_GB2312" w:eastAsia="仿宋_GB2312" w:cs="仿宋_GB2312"/>
          <w:b w:val="0"/>
          <w:bCs w:val="0"/>
          <w:sz w:val="34"/>
          <w:szCs w:val="34"/>
          <w:highlight w:val="none"/>
          <w:lang w:val="en-US" w:eastAsia="zh-CN"/>
        </w:rPr>
        <w:t>依法办理徐某某等9人骗取出口退税案，有力维护国家税收征管秩序。依法惩治民营企业内部腐败犯罪5件19人</w:t>
      </w:r>
      <w:r>
        <w:rPr>
          <w:rFonts w:hint="default" w:ascii="仿宋_GB2312" w:hAnsi="仿宋_GB2312" w:eastAsia="仿宋_GB2312" w:cs="仿宋_GB2312"/>
          <w:b w:val="0"/>
          <w:bCs w:val="0"/>
          <w:color w:val="auto"/>
          <w:sz w:val="34"/>
          <w:szCs w:val="34"/>
          <w:highlight w:val="none"/>
          <w:lang w:val="en-US" w:eastAsia="zh-CN"/>
        </w:rPr>
        <w:t>，为企业挽回经济损失270余万元</w:t>
      </w:r>
      <w:r>
        <w:rPr>
          <w:rFonts w:hint="eastAsia" w:ascii="仿宋_GB2312" w:hAnsi="仿宋_GB2312" w:eastAsia="仿宋_GB2312" w:cs="仿宋_GB2312"/>
          <w:b w:val="0"/>
          <w:bCs w:val="0"/>
          <w:sz w:val="34"/>
          <w:szCs w:val="34"/>
          <w:highlight w:val="none"/>
          <w:lang w:val="en-US" w:eastAsia="zh-CN"/>
        </w:rPr>
        <w:t>。深化司法服务改革，加强府检联动协作，为企业提供“一站式”法律服务。践行安商护企，开展“订单式”普法宣传，引导企业提升法律风险防范能力。</w:t>
      </w:r>
      <w:r>
        <w:rPr>
          <w:rFonts w:hint="eastAsia" w:ascii="仿宋_GB2312" w:hAnsi="仿宋" w:eastAsia="仿宋_GB2312"/>
          <w:b w:val="0"/>
          <w:bCs w:val="0"/>
          <w:sz w:val="34"/>
          <w:szCs w:val="34"/>
          <w:highlight w:val="none"/>
          <w:lang w:val="en-US" w:eastAsia="zh-CN"/>
        </w:rPr>
        <w:t>持续推进违规异地执法和趋利性执法司法专项监督，办理民事行政监督案件3件，发出检察建议3件，以</w:t>
      </w:r>
      <w:r>
        <w:rPr>
          <w:rFonts w:hint="eastAsia" w:ascii="仿宋_GB2312" w:hAnsi="仿宋" w:eastAsia="仿宋_GB2312"/>
          <w:b w:val="0"/>
          <w:bCs w:val="0"/>
          <w:sz w:val="34"/>
          <w:szCs w:val="34"/>
          <w:lang w:val="en-US" w:eastAsia="zh-CN"/>
        </w:rPr>
        <w:t>法律监督推进法治化营商环境建设。</w:t>
      </w:r>
    </w:p>
    <w:p w14:paraId="3B481471">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i w:val="0"/>
          <w:iCs w:val="0"/>
          <w:sz w:val="34"/>
          <w:szCs w:val="34"/>
          <w:lang w:val="en-US" w:eastAsia="zh-CN"/>
        </w:rPr>
      </w:pPr>
      <w:r>
        <w:rPr>
          <w:rFonts w:hint="eastAsia" w:ascii="楷体_GB2312" w:hAnsi="楷体_GB2312" w:eastAsia="楷体_GB2312" w:cs="楷体_GB2312"/>
          <w:b w:val="0"/>
          <w:bCs w:val="0"/>
          <w:sz w:val="34"/>
          <w:szCs w:val="34"/>
          <w:lang w:val="en-US" w:eastAsia="zh-CN"/>
        </w:rPr>
        <w:t>（三）呵护祖国未来，多维发力筑牢保护未成年人堤坝。</w:t>
      </w:r>
      <w:r>
        <w:rPr>
          <w:rFonts w:hint="eastAsia" w:ascii="仿宋_GB2312" w:hAnsi="仿宋_GB2312" w:eastAsia="仿宋_GB2312" w:cs="仿宋_GB2312"/>
          <w:b w:val="0"/>
          <w:bCs w:val="0"/>
          <w:sz w:val="34"/>
          <w:szCs w:val="34"/>
          <w:highlight w:val="none"/>
          <w:lang w:val="en-US" w:eastAsia="zh-CN"/>
        </w:rPr>
        <w:t>全面受理涉未成年人案件100件，批捕29件36人，</w:t>
      </w:r>
      <w:r>
        <w:rPr>
          <w:rFonts w:hint="eastAsia" w:ascii="仿宋_GB2312" w:hAnsi="仿宋_GB2312" w:eastAsia="仿宋_GB2312" w:cs="仿宋_GB2312"/>
          <w:sz w:val="34"/>
          <w:szCs w:val="34"/>
          <w:highlight w:val="none"/>
        </w:rPr>
        <w:t>起诉</w:t>
      </w:r>
      <w:r>
        <w:rPr>
          <w:rFonts w:hint="eastAsia" w:ascii="仿宋_GB2312" w:hAnsi="仿宋_GB2312" w:eastAsia="仿宋_GB2312" w:cs="仿宋_GB2312"/>
          <w:sz w:val="34"/>
          <w:szCs w:val="34"/>
          <w:highlight w:val="none"/>
          <w:lang w:val="en-US" w:eastAsia="zh-CN"/>
        </w:rPr>
        <w:t>35</w:t>
      </w:r>
      <w:r>
        <w:rPr>
          <w:rFonts w:hint="eastAsia" w:ascii="仿宋_GB2312" w:hAnsi="仿宋_GB2312" w:eastAsia="仿宋_GB2312" w:cs="仿宋_GB2312"/>
          <w:sz w:val="34"/>
          <w:szCs w:val="34"/>
          <w:highlight w:val="none"/>
        </w:rPr>
        <w:t>件</w:t>
      </w:r>
      <w:r>
        <w:rPr>
          <w:rFonts w:hint="eastAsia" w:ascii="仿宋_GB2312" w:hAnsi="仿宋_GB2312" w:eastAsia="仿宋_GB2312" w:cs="仿宋_GB2312"/>
          <w:sz w:val="34"/>
          <w:szCs w:val="34"/>
          <w:highlight w:val="none"/>
          <w:lang w:val="en-US" w:eastAsia="zh-CN"/>
        </w:rPr>
        <w:t>41</w:t>
      </w:r>
      <w:r>
        <w:rPr>
          <w:rFonts w:hint="eastAsia" w:ascii="仿宋_GB2312" w:hAnsi="仿宋_GB2312" w:eastAsia="仿宋_GB2312" w:cs="仿宋_GB2312"/>
          <w:sz w:val="34"/>
          <w:szCs w:val="34"/>
          <w:highlight w:val="none"/>
        </w:rPr>
        <w:t>人</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rPr>
        <w:t>附条件不起诉</w:t>
      </w:r>
      <w:r>
        <w:rPr>
          <w:rFonts w:hint="eastAsia" w:ascii="仿宋_GB2312" w:hAnsi="仿宋_GB2312" w:eastAsia="仿宋_GB2312" w:cs="仿宋_GB2312"/>
          <w:sz w:val="34"/>
          <w:szCs w:val="34"/>
          <w:highlight w:val="none"/>
          <w:lang w:val="en-US" w:eastAsia="zh-CN"/>
        </w:rPr>
        <w:t>7</w:t>
      </w:r>
      <w:r>
        <w:rPr>
          <w:rFonts w:hint="eastAsia" w:ascii="仿宋_GB2312" w:hAnsi="仿宋_GB2312" w:eastAsia="仿宋_GB2312" w:cs="仿宋_GB2312"/>
          <w:sz w:val="34"/>
          <w:szCs w:val="34"/>
          <w:highlight w:val="none"/>
        </w:rPr>
        <w:t>件</w:t>
      </w:r>
      <w:r>
        <w:rPr>
          <w:rFonts w:hint="eastAsia" w:ascii="仿宋_GB2312" w:hAnsi="仿宋_GB2312" w:eastAsia="仿宋_GB2312" w:cs="仿宋_GB2312"/>
          <w:sz w:val="34"/>
          <w:szCs w:val="34"/>
          <w:highlight w:val="none"/>
          <w:lang w:val="en-US" w:eastAsia="zh-CN"/>
        </w:rPr>
        <w:t>10</w:t>
      </w:r>
      <w:r>
        <w:rPr>
          <w:rFonts w:hint="eastAsia" w:ascii="仿宋_GB2312" w:hAnsi="仿宋_GB2312" w:eastAsia="仿宋_GB2312" w:cs="仿宋_GB2312"/>
          <w:sz w:val="34"/>
          <w:szCs w:val="34"/>
          <w:highlight w:val="none"/>
        </w:rPr>
        <w:t>人</w:t>
      </w:r>
      <w:r>
        <w:rPr>
          <w:rFonts w:hint="eastAsia" w:ascii="仿宋_GB2312" w:hAnsi="仿宋_GB2312" w:eastAsia="仿宋_GB2312" w:cs="仿宋_GB2312"/>
          <w:sz w:val="34"/>
          <w:szCs w:val="34"/>
          <w:highlight w:val="none"/>
          <w:lang w:eastAsia="zh-CN"/>
        </w:rPr>
        <w:t>。</w:t>
      </w:r>
      <w:r>
        <w:rPr>
          <w:rFonts w:hint="eastAsia" w:ascii="仿宋_GB2312" w:hAnsi="仿宋_GB2312" w:eastAsia="仿宋_GB2312" w:cs="仿宋_GB2312"/>
          <w:sz w:val="34"/>
          <w:szCs w:val="34"/>
          <w:highlight w:val="none"/>
          <w:lang w:val="en-US" w:eastAsia="zh-CN"/>
        </w:rPr>
        <w:t>四级检察机关联动，办理辽宁首起低龄未成年人核准追诉案件。</w:t>
      </w:r>
      <w:bookmarkStart w:id="2" w:name="OLE_LINK6"/>
      <w:r>
        <w:rPr>
          <w:rFonts w:hint="eastAsia" w:ascii="仿宋_GB2312" w:hAnsi="仿宋_GB2312" w:eastAsia="仿宋_GB2312" w:cs="仿宋_GB2312"/>
          <w:sz w:val="34"/>
          <w:szCs w:val="34"/>
          <w:highlight w:val="none"/>
          <w:lang w:val="en-US" w:eastAsia="zh-CN"/>
        </w:rPr>
        <w:t>制发</w:t>
      </w:r>
      <w:r>
        <w:rPr>
          <w:rFonts w:hint="eastAsia" w:ascii="仿宋_GB2312" w:hAnsi="仿宋_GB2312" w:eastAsia="仿宋_GB2312" w:cs="仿宋_GB2312"/>
          <w:sz w:val="34"/>
          <w:szCs w:val="34"/>
          <w:highlight w:val="none"/>
        </w:rPr>
        <w:t>督促监护令</w:t>
      </w:r>
      <w:r>
        <w:rPr>
          <w:rFonts w:hint="eastAsia" w:ascii="仿宋_GB2312" w:hAnsi="仿宋_GB2312" w:eastAsia="仿宋_GB2312" w:cs="仿宋_GB2312"/>
          <w:sz w:val="34"/>
          <w:szCs w:val="34"/>
          <w:highlight w:val="none"/>
          <w:lang w:val="en-US" w:eastAsia="zh-CN"/>
        </w:rPr>
        <w:t>、</w:t>
      </w:r>
      <w:r>
        <w:rPr>
          <w:rFonts w:hint="eastAsia" w:ascii="仿宋_GB2312" w:hAnsi="仿宋_GB2312" w:eastAsia="仿宋_GB2312" w:cs="仿宋_GB2312"/>
          <w:sz w:val="34"/>
          <w:szCs w:val="34"/>
          <w:highlight w:val="none"/>
        </w:rPr>
        <w:t>家庭教育令</w:t>
      </w:r>
      <w:bookmarkEnd w:id="2"/>
      <w:r>
        <w:rPr>
          <w:rFonts w:hint="eastAsia" w:ascii="仿宋_GB2312" w:hAnsi="仿宋_GB2312" w:eastAsia="仿宋_GB2312" w:cs="仿宋_GB2312"/>
          <w:sz w:val="34"/>
          <w:szCs w:val="34"/>
          <w:highlight w:val="none"/>
          <w:lang w:val="en-US" w:eastAsia="zh-CN"/>
        </w:rPr>
        <w:t>61</w:t>
      </w:r>
      <w:r>
        <w:rPr>
          <w:rFonts w:hint="eastAsia" w:ascii="仿宋_GB2312" w:hAnsi="仿宋_GB2312" w:eastAsia="仿宋_GB2312" w:cs="仿宋_GB2312"/>
          <w:sz w:val="34"/>
          <w:szCs w:val="34"/>
          <w:highlight w:val="none"/>
        </w:rPr>
        <w:t>份</w:t>
      </w:r>
      <w:r>
        <w:rPr>
          <w:rFonts w:hint="eastAsia" w:ascii="仿宋_GB2312" w:hAnsi="仿宋_GB2312" w:eastAsia="仿宋_GB2312" w:cs="仿宋_GB2312"/>
          <w:sz w:val="34"/>
          <w:szCs w:val="34"/>
          <w:highlight w:val="none"/>
          <w:lang w:eastAsia="zh-CN"/>
        </w:rPr>
        <w:t>，督促家长与检察机关共同为孩子“扣好人生第一粒扣子”。</w:t>
      </w:r>
      <w:r>
        <w:rPr>
          <w:rFonts w:hint="eastAsia" w:ascii="仿宋_GB2312" w:hAnsi="仿宋_GB2312" w:eastAsia="仿宋_GB2312" w:cs="仿宋_GB2312"/>
          <w:sz w:val="34"/>
          <w:szCs w:val="34"/>
          <w:highlight w:val="none"/>
          <w:lang w:val="en-US" w:eastAsia="zh-CN"/>
        </w:rPr>
        <w:t>积极推进涉未成年人综合履职，制发检察建议督促相关行政机关、市场经营主体担负起保护未成年人合法权益的责任。</w:t>
      </w:r>
    </w:p>
    <w:p w14:paraId="5732404C">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sz w:val="34"/>
          <w:szCs w:val="34"/>
          <w:lang w:val="en-US" w:eastAsia="zh-CN"/>
        </w:rPr>
      </w:pPr>
      <w:r>
        <w:rPr>
          <w:rFonts w:hint="eastAsia" w:ascii="楷体_GB2312" w:hAnsi="楷体_GB2312" w:eastAsia="楷体_GB2312" w:cs="楷体_GB2312"/>
          <w:b w:val="0"/>
          <w:bCs w:val="0"/>
          <w:sz w:val="34"/>
          <w:szCs w:val="34"/>
          <w:highlight w:val="none"/>
          <w:lang w:val="en-US" w:eastAsia="zh-CN"/>
        </w:rPr>
        <w:t>（四）助力政通人和，深度参与促进社会治理效能提升。</w:t>
      </w:r>
      <w:r>
        <w:rPr>
          <w:rFonts w:hint="eastAsia" w:ascii="仿宋_GB2312" w:hAnsi="仿宋_GB2312" w:eastAsia="仿宋_GB2312" w:cs="仿宋_GB2312"/>
          <w:sz w:val="34"/>
          <w:szCs w:val="34"/>
          <w:lang w:val="en-US" w:eastAsia="zh-CN"/>
        </w:rPr>
        <w:t>坚持治罪与治理协同并进，以互联网新业态食药安全、新能源安全等领域为切入点，开展“食药安全‘益’路行”等专项</w:t>
      </w:r>
      <w:r>
        <w:rPr>
          <w:rFonts w:hint="eastAsia" w:ascii="仿宋_GB2312" w:hAnsi="仿宋_GB2312" w:eastAsia="仿宋_GB2312" w:cs="仿宋_GB2312"/>
          <w:sz w:val="34"/>
          <w:szCs w:val="34"/>
          <w:highlight w:val="none"/>
          <w:lang w:val="en-US" w:eastAsia="zh-CN"/>
        </w:rPr>
        <w:t>行动，督促相关部门履行监管职责。坚持</w:t>
      </w:r>
      <w:r>
        <w:rPr>
          <w:rFonts w:hint="default" w:ascii="仿宋_GB2312" w:hAnsi="仿宋_GB2312" w:eastAsia="仿宋_GB2312" w:cs="仿宋_GB2312"/>
          <w:sz w:val="34"/>
          <w:szCs w:val="34"/>
          <w:highlight w:val="none"/>
          <w:lang w:val="en-US" w:eastAsia="zh-CN"/>
        </w:rPr>
        <w:t>在监督中办案、在办案中监督，</w:t>
      </w:r>
      <w:r>
        <w:rPr>
          <w:rFonts w:hint="eastAsia" w:ascii="仿宋_GB2312" w:hAnsi="仿宋_GB2312" w:eastAsia="仿宋_GB2312" w:cs="仿宋_GB2312"/>
          <w:sz w:val="34"/>
          <w:szCs w:val="34"/>
          <w:highlight w:val="none"/>
          <w:lang w:val="en-US" w:eastAsia="zh-CN"/>
        </w:rPr>
        <w:t>制发各类检察建议80件，</w:t>
      </w:r>
      <w:r>
        <w:rPr>
          <w:rFonts w:hint="eastAsia" w:ascii="仿宋_GB2312" w:hAnsi="仿宋_GB2312" w:eastAsia="仿宋_GB2312" w:cs="仿宋_GB2312"/>
          <w:sz w:val="34"/>
          <w:szCs w:val="34"/>
          <w:lang w:val="en-US" w:eastAsia="zh-CN"/>
        </w:rPr>
        <w:t>持续推动案件质量与监督效果同步提升</w:t>
      </w:r>
      <w:r>
        <w:rPr>
          <w:rFonts w:hint="default" w:ascii="仿宋_GB2312" w:hAnsi="仿宋_GB2312" w:eastAsia="仿宋_GB2312" w:cs="仿宋_GB2312"/>
          <w:sz w:val="34"/>
          <w:szCs w:val="34"/>
          <w:lang w:val="en-US" w:eastAsia="zh-CN"/>
        </w:rPr>
        <w:t>。</w:t>
      </w:r>
      <w:r>
        <w:rPr>
          <w:rFonts w:hint="eastAsia" w:ascii="仿宋_GB2312" w:hAnsi="仿宋_GB2312" w:eastAsia="仿宋_GB2312" w:cs="仿宋_GB2312"/>
          <w:sz w:val="34"/>
          <w:szCs w:val="34"/>
          <w:lang w:val="en-US" w:eastAsia="zh-CN"/>
        </w:rPr>
        <w:t>全力推动检察建议从</w:t>
      </w:r>
      <w:r>
        <w:rPr>
          <w:rFonts w:hint="default" w:ascii="仿宋_GB2312" w:hAnsi="仿宋_GB2312" w:eastAsia="仿宋_GB2312" w:cs="仿宋_GB2312"/>
          <w:sz w:val="34"/>
          <w:szCs w:val="34"/>
          <w:lang w:val="en-US" w:eastAsia="zh-CN"/>
        </w:rPr>
        <w:t>“办理”向“办复”</w:t>
      </w:r>
      <w:r>
        <w:rPr>
          <w:rFonts w:hint="eastAsia" w:ascii="仿宋_GB2312" w:hAnsi="仿宋_GB2312" w:eastAsia="仿宋_GB2312" w:cs="仿宋_GB2312"/>
          <w:sz w:val="34"/>
          <w:szCs w:val="34"/>
          <w:lang w:val="en-US" w:eastAsia="zh-CN"/>
        </w:rPr>
        <w:t>转变，对2022年至今制发的56件社会治理检察建议落实整改情况“回头看”，</w:t>
      </w:r>
      <w:r>
        <w:rPr>
          <w:rFonts w:hint="default" w:ascii="仿宋_GB2312" w:hAnsi="仿宋_GB2312" w:eastAsia="仿宋_GB2312" w:cs="仿宋_GB2312"/>
          <w:sz w:val="34"/>
          <w:szCs w:val="34"/>
          <w:lang w:val="en-US" w:eastAsia="zh-CN"/>
        </w:rPr>
        <w:t>做好</w:t>
      </w:r>
      <w:r>
        <w:rPr>
          <w:rFonts w:hint="eastAsia" w:ascii="仿宋_GB2312" w:hAnsi="仿宋_GB2312" w:eastAsia="仿宋_GB2312" w:cs="仿宋_GB2312"/>
          <w:sz w:val="34"/>
          <w:szCs w:val="34"/>
          <w:lang w:val="en-US" w:eastAsia="zh-CN"/>
        </w:rPr>
        <w:t>检察建议</w:t>
      </w:r>
      <w:r>
        <w:rPr>
          <w:rFonts w:hint="default" w:ascii="仿宋_GB2312" w:hAnsi="仿宋_GB2312" w:eastAsia="仿宋_GB2312" w:cs="仿宋_GB2312"/>
          <w:sz w:val="34"/>
          <w:szCs w:val="34"/>
          <w:lang w:val="en-US" w:eastAsia="zh-CN"/>
        </w:rPr>
        <w:t>“后半篇文章”</w:t>
      </w:r>
      <w:r>
        <w:rPr>
          <w:rFonts w:hint="eastAsia" w:ascii="仿宋_GB2312" w:hAnsi="仿宋_GB2312" w:eastAsia="仿宋_GB2312" w:cs="仿宋_GB2312"/>
          <w:sz w:val="34"/>
          <w:szCs w:val="34"/>
          <w:lang w:val="en-US" w:eastAsia="zh-CN"/>
        </w:rPr>
        <w:t>。</w:t>
      </w:r>
    </w:p>
    <w:p w14:paraId="07D2835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三、践行人民至上，在司法为民中传递检察温度</w:t>
      </w:r>
    </w:p>
    <w:p w14:paraId="7A9B8BDA">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一年来，我们坚持人民至上，持续深化“检护民生”专项行动，努力把检察工作做到人民群众家门前、心坎上。</w:t>
      </w:r>
    </w:p>
    <w:p w14:paraId="6B188D7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楷体_GB2312" w:hAnsi="楷体_GB2312" w:eastAsia="楷体_GB2312" w:cs="楷体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（一）聚焦重点办好检察为民实事。</w:t>
      </w:r>
      <w:r>
        <w:rPr>
          <w:rFonts w:hint="eastAsia" w:ascii="仿宋_GB2312" w:hAnsi="仿宋_GB2312" w:eastAsia="仿宋_GB2312" w:cs="仿宋_GB2312"/>
          <w:b w:val="0"/>
          <w:bCs w:val="0"/>
          <w:sz w:val="34"/>
          <w:szCs w:val="34"/>
          <w:highlight w:val="none"/>
          <w:lang w:val="en-US" w:eastAsia="zh-CN"/>
        </w:rPr>
        <w:t>起诉销售假冒注册商标的商品、销售假药劣药犯罪2件2人，办理食品药品安全领域公益诉讼案件9件，守护人民群众“舌尖上的安全”。</w:t>
      </w:r>
      <w:r>
        <w:rPr>
          <w:rFonts w:hint="eastAsia" w:ascii="仿宋_GB2312" w:hAnsi="仿宋_GB2312" w:eastAsia="仿宋_GB2312" w:cs="仿宋_GB2312"/>
          <w:b w:val="0"/>
          <w:bCs w:val="0"/>
          <w:color w:val="auto"/>
          <w:sz w:val="34"/>
          <w:szCs w:val="34"/>
          <w:highlight w:val="none"/>
          <w:lang w:val="en-US" w:eastAsia="zh-CN"/>
        </w:rPr>
        <w:t>办理涉“三农”领域检察监督案件1件1人，服务乡村全面振兴。</w:t>
      </w:r>
      <w:r>
        <w:rPr>
          <w:rFonts w:hint="eastAsia" w:ascii="仿宋_GB2312" w:hAnsi="仿宋_GB2312" w:eastAsia="仿宋_GB2312" w:cs="仿宋_GB2312"/>
          <w:b w:val="0"/>
          <w:bCs w:val="0"/>
          <w:sz w:val="34"/>
          <w:szCs w:val="34"/>
          <w:highlight w:val="none"/>
          <w:lang w:val="en-US" w:eastAsia="zh-CN"/>
        </w:rPr>
        <w:t>融合履职助推“养老诈骗”综合治理，扎实开展防范养老诈骗宣传活动2次</w:t>
      </w:r>
      <w:r>
        <w:rPr>
          <w:rFonts w:hint="eastAsia" w:ascii="仿宋_GB2312" w:hAnsi="仿宋_GB2312" w:eastAsia="仿宋_GB2312" w:cs="仿宋_GB2312"/>
          <w:b w:val="0"/>
          <w:bCs w:val="0"/>
          <w:sz w:val="34"/>
          <w:szCs w:val="34"/>
          <w:lang w:val="en-US" w:eastAsia="zh-CN"/>
        </w:rPr>
        <w:t>，守护长者“养老钱”。</w:t>
      </w:r>
    </w:p>
    <w:p w14:paraId="0FBF3790">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highlight w:val="yellow"/>
          <w:lang w:val="en-US" w:eastAsia="zh-CN"/>
        </w:rPr>
      </w:pPr>
      <w:r>
        <w:rPr>
          <w:rFonts w:hint="eastAsia" w:ascii="楷体_GB2312" w:hAnsi="楷体_GB2312" w:eastAsia="楷体_GB2312" w:cs="楷体_GB2312"/>
          <w:b w:val="0"/>
          <w:bCs w:val="0"/>
          <w:sz w:val="34"/>
          <w:szCs w:val="34"/>
          <w:lang w:val="en-US" w:eastAsia="zh-CN"/>
        </w:rPr>
        <w:t>（二）依法保障特殊群体合法权益。</w:t>
      </w:r>
      <w:r>
        <w:rPr>
          <w:rFonts w:hint="eastAsia" w:ascii="仿宋_GB2312" w:hAnsi="仿宋_GB2312" w:eastAsia="仿宋_GB2312" w:cs="仿宋_GB2312"/>
          <w:b w:val="0"/>
          <w:bCs w:val="0"/>
          <w:sz w:val="34"/>
          <w:szCs w:val="34"/>
          <w:highlight w:val="none"/>
          <w:lang w:val="en-US" w:eastAsia="zh-CN"/>
        </w:rPr>
        <w:t>办理劳动报酬类民事检察案件6件，帮助追索报酬75600元，让劳动者“劳有所得”。</w:t>
      </w:r>
      <w:r>
        <w:rPr>
          <w:rFonts w:hint="eastAsia" w:ascii="仿宋_GB2312" w:hAnsi="仿宋_GB2312" w:eastAsia="仿宋_GB2312" w:cs="仿宋_GB2312"/>
          <w:b w:val="0"/>
          <w:bCs w:val="0"/>
          <w:sz w:val="34"/>
          <w:szCs w:val="34"/>
          <w:lang w:val="en-US" w:eastAsia="zh-CN"/>
        </w:rPr>
        <w:t>充分发挥检察机关司法救助“救急克难暖民心”作用，向因案致贫、因案返贫困难家庭发放救助金8万元</w:t>
      </w:r>
      <w:r>
        <w:rPr>
          <w:rFonts w:hint="eastAsia" w:ascii="仿宋_GB2312" w:hAnsi="仿宋_GB2312" w:eastAsia="仿宋_GB2312" w:cs="仿宋_GB2312"/>
          <w:b w:val="0"/>
          <w:bCs w:val="0"/>
          <w:sz w:val="34"/>
          <w:szCs w:val="34"/>
          <w:highlight w:val="none"/>
          <w:lang w:val="en-US" w:eastAsia="zh-CN"/>
        </w:rPr>
        <w:t>。依法起诉侵犯妇女人身权益犯罪案件5件7人，</w:t>
      </w:r>
      <w:r>
        <w:rPr>
          <w:rFonts w:hint="eastAsia" w:ascii="仿宋_GB2312" w:hAnsi="仿宋_GB2312" w:eastAsia="仿宋_GB2312" w:cs="仿宋_GB2312"/>
          <w:b w:val="0"/>
          <w:bCs w:val="0"/>
          <w:sz w:val="34"/>
          <w:szCs w:val="34"/>
          <w:lang w:val="en-US" w:eastAsia="zh-CN"/>
        </w:rPr>
        <w:t>开展《中华人民共和国民法典婚姻家庭编》专题系列普法宣传活动，</w:t>
      </w:r>
      <w:r>
        <w:rPr>
          <w:rFonts w:hint="eastAsia" w:ascii="仿宋_GB2312" w:hAnsi="仿宋_GB2312" w:eastAsia="仿宋_GB2312" w:cs="仿宋_GB2312"/>
          <w:b w:val="0"/>
          <w:bCs w:val="0"/>
          <w:sz w:val="34"/>
          <w:szCs w:val="34"/>
          <w:highlight w:val="none"/>
          <w:lang w:val="en-US" w:eastAsia="zh-CN"/>
        </w:rPr>
        <w:t>以法治之名守护“她”权益。持续关注残障群体合法权益，制发检察建议推动盲人阅览室等无障碍环境建设，邀请人大代表、政协委员对检察建议落实情况进行验收，用检察关怀温暖社会民心。</w:t>
      </w:r>
    </w:p>
    <w:p w14:paraId="7BF4D6E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楷体_GB2312" w:hAnsi="楷体_GB2312" w:eastAsia="楷体_GB2312" w:cs="楷体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（三）多元深化未成年人司法保护。</w:t>
      </w:r>
      <w:r>
        <w:rPr>
          <w:rFonts w:hint="eastAsia" w:ascii="仿宋_GB2312" w:hAnsi="仿宋_GB2312" w:eastAsia="仿宋_GB2312" w:cs="仿宋_GB2312"/>
          <w:b w:val="0"/>
          <w:bCs w:val="0"/>
          <w:i w:val="0"/>
          <w:iCs w:val="0"/>
          <w:sz w:val="34"/>
          <w:szCs w:val="34"/>
          <w:lang w:val="en-US" w:eastAsia="zh-CN"/>
        </w:rPr>
        <w:t>助力未成年人保护社会支持体系建设，实现</w:t>
      </w:r>
      <w:r>
        <w:rPr>
          <w:rFonts w:hint="eastAsia" w:ascii="仿宋_GB2312" w:hAnsi="仿宋_GB2312" w:eastAsia="仿宋_GB2312" w:cs="仿宋_GB2312"/>
          <w:b w:val="0"/>
          <w:bCs w:val="0"/>
          <w:i w:val="0"/>
          <w:iCs w:val="0"/>
          <w:sz w:val="34"/>
          <w:szCs w:val="34"/>
          <w:highlight w:val="none"/>
          <w:lang w:val="en-US" w:eastAsia="zh-CN"/>
        </w:rPr>
        <w:t>辖区27所学校法治副校长配备、履职全覆盖，个性化定制开展“法治进校园”46次，帮助未成年人提高明辨是非和自我保护的意识和能力。畅通未成年人权益保护通道，通过12309检察服务平台接收和处理涉及学生权益诉求2件。</w:t>
      </w:r>
      <w:r>
        <w:rPr>
          <w:rFonts w:hint="eastAsia" w:ascii="仿宋_GB2312" w:hAnsi="仿宋_GB2312" w:eastAsia="仿宋_GB2312" w:cs="仿宋_GB2312"/>
          <w:b w:val="0"/>
          <w:bCs w:val="0"/>
          <w:sz w:val="34"/>
          <w:szCs w:val="34"/>
          <w:highlight w:val="none"/>
          <w:lang w:val="en-US" w:eastAsia="zh-CN"/>
        </w:rPr>
        <w:t>开展涉罪未成年人帮扶教育155人次，</w:t>
      </w:r>
      <w:r>
        <w:rPr>
          <w:rFonts w:hint="eastAsia" w:ascii="仿宋_GB2312" w:hAnsi="仿宋_GB2312" w:eastAsia="仿宋_GB2312" w:cs="仿宋_GB2312"/>
          <w:b w:val="0"/>
          <w:bCs w:val="0"/>
          <w:sz w:val="34"/>
          <w:szCs w:val="34"/>
          <w:lang w:val="en-US" w:eastAsia="zh-CN"/>
        </w:rPr>
        <w:t>组织亲情会</w:t>
      </w:r>
      <w:r>
        <w:rPr>
          <w:rFonts w:hint="eastAsia" w:ascii="仿宋_GB2312" w:hAnsi="仿宋_GB2312" w:eastAsia="仿宋_GB2312" w:cs="仿宋_GB2312"/>
          <w:b w:val="0"/>
          <w:bCs w:val="0"/>
          <w:sz w:val="34"/>
          <w:szCs w:val="34"/>
          <w:highlight w:val="none"/>
          <w:lang w:val="en-US" w:eastAsia="zh-CN"/>
        </w:rPr>
        <w:t>见</w:t>
      </w:r>
      <w:r>
        <w:rPr>
          <w:rFonts w:hint="eastAsia" w:ascii="仿宋_GB2312" w:hAnsi="仿宋_GB2312" w:eastAsia="仿宋_GB2312" w:cs="仿宋_GB2312"/>
          <w:b w:val="0"/>
          <w:bCs w:val="0"/>
          <w:i w:val="0"/>
          <w:iCs w:val="0"/>
          <w:sz w:val="34"/>
          <w:szCs w:val="34"/>
          <w:lang w:val="en-US" w:eastAsia="zh-CN"/>
        </w:rPr>
        <w:t>、开展教</w:t>
      </w:r>
      <w:r>
        <w:rPr>
          <w:rFonts w:hint="eastAsia" w:ascii="仿宋_GB2312" w:hAnsi="仿宋_GB2312" w:eastAsia="仿宋_GB2312" w:cs="仿宋_GB2312"/>
          <w:b w:val="0"/>
          <w:bCs w:val="0"/>
          <w:i w:val="0"/>
          <w:iCs w:val="0"/>
          <w:sz w:val="34"/>
          <w:szCs w:val="34"/>
          <w:highlight w:val="none"/>
          <w:lang w:val="en-US" w:eastAsia="zh-CN"/>
        </w:rPr>
        <w:t>育疏导</w:t>
      </w:r>
      <w:r>
        <w:rPr>
          <w:rFonts w:hint="eastAsia" w:ascii="仿宋_GB2312" w:hAnsi="仿宋_GB2312" w:eastAsia="仿宋_GB2312" w:cs="仿宋_GB2312"/>
          <w:b w:val="0"/>
          <w:bCs w:val="0"/>
          <w:sz w:val="34"/>
          <w:szCs w:val="34"/>
          <w:highlight w:val="none"/>
          <w:lang w:val="en-US" w:eastAsia="zh-CN"/>
        </w:rPr>
        <w:t>128人次，向教育部门移送3名涉案失学人员，与专业机构合作制定个性化帮教方案帮助2名涉罪未成年人重返社会</w:t>
      </w:r>
      <w:r>
        <w:rPr>
          <w:rFonts w:hint="eastAsia" w:ascii="仿宋_GB2312" w:hAnsi="仿宋_GB2312" w:eastAsia="仿宋_GB2312" w:cs="仿宋_GB2312"/>
          <w:b w:val="0"/>
          <w:bCs w:val="0"/>
          <w:sz w:val="34"/>
          <w:szCs w:val="34"/>
          <w:lang w:val="en-US" w:eastAsia="zh-CN"/>
        </w:rPr>
        <w:t>，用司法温度为迷途少年点亮回归之路。</w:t>
      </w:r>
    </w:p>
    <w:p w14:paraId="380339B9">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b w:val="0"/>
          <w:bCs w:val="0"/>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（四）“心禾护益”助力生态文明建设。</w:t>
      </w:r>
      <w:r>
        <w:rPr>
          <w:rFonts w:hint="eastAsia" w:ascii="仿宋_GB2312" w:hAnsi="仿宋_GB2312" w:eastAsia="仿宋_GB2312" w:cs="仿宋_GB2312"/>
          <w:b w:val="0"/>
          <w:bCs w:val="0"/>
          <w:sz w:val="34"/>
          <w:szCs w:val="34"/>
          <w:highlight w:val="none"/>
          <w:lang w:val="en-US" w:eastAsia="zh-CN"/>
        </w:rPr>
        <w:t>依法办理破坏海洋和流域环境、侵害海洋资源等“环渤海专案”8件，制发检察建议6件，督促违法行为人上缴生态环境修复保证金30余万元。开展多元生态保护和环境治理实践，以府检联动协同工作机制服务“生态立区”发展战略。</w:t>
      </w:r>
      <w:bookmarkStart w:id="3" w:name="OLE_LINK8"/>
      <w:r>
        <w:rPr>
          <w:rFonts w:hint="eastAsia" w:ascii="仿宋_GB2312" w:hAnsi="仿宋_GB2312" w:eastAsia="仿宋_GB2312" w:cs="仿宋_GB2312"/>
          <w:b w:val="0"/>
          <w:bCs w:val="0"/>
          <w:sz w:val="34"/>
          <w:szCs w:val="34"/>
          <w:highlight w:val="none"/>
          <w:lang w:val="en-US" w:eastAsia="zh-CN"/>
        </w:rPr>
        <w:t>完善社会支持参与体系，招募20名志愿者组建“益心为公”志愿者团队，聘请相关专家参与公益诉讼办案，与社会各界共画生态环境治理“同心圆”。</w:t>
      </w:r>
    </w:p>
    <w:bookmarkEnd w:id="3"/>
    <w:p w14:paraId="16A94B56">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（五）定分止争践行新时代“枫桥经验”。</w:t>
      </w:r>
      <w:r>
        <w:rPr>
          <w:rFonts w:hint="eastAsia" w:ascii="仿宋_GB2312" w:hAnsi="仿宋_GB2312" w:eastAsia="仿宋_GB2312" w:cs="仿宋_GB2312"/>
          <w:sz w:val="34"/>
          <w:szCs w:val="34"/>
        </w:rPr>
        <w:t>畅通信、访、网、电</w:t>
      </w:r>
      <w:r>
        <w:rPr>
          <w:rFonts w:hint="eastAsia" w:ascii="仿宋_GB2312" w:hAnsi="仿宋_GB2312" w:eastAsia="仿宋_GB2312" w:cs="仿宋_GB2312"/>
          <w:sz w:val="34"/>
          <w:szCs w:val="34"/>
          <w:lang w:val="en-US" w:eastAsia="zh-CN"/>
        </w:rPr>
        <w:t>多元</w:t>
      </w:r>
      <w:r>
        <w:rPr>
          <w:rFonts w:hint="eastAsia" w:ascii="仿宋_GB2312" w:hAnsi="仿宋_GB2312" w:eastAsia="仿宋_GB2312" w:cs="仿宋_GB2312"/>
          <w:sz w:val="34"/>
          <w:szCs w:val="34"/>
        </w:rPr>
        <w:t>诉求表达渠道，常态化开展领导干部</w:t>
      </w:r>
      <w:r>
        <w:rPr>
          <w:rFonts w:hint="eastAsia" w:ascii="仿宋_GB2312" w:hAnsi="仿宋_GB2312" w:eastAsia="仿宋_GB2312" w:cs="仿宋_GB2312"/>
          <w:sz w:val="34"/>
          <w:szCs w:val="34"/>
          <w:lang w:val="en-US" w:eastAsia="zh-CN"/>
        </w:rPr>
        <w:t>办信接访、</w:t>
      </w:r>
      <w:r>
        <w:rPr>
          <w:rFonts w:hint="eastAsia" w:ascii="仿宋_GB2312" w:hAnsi="仿宋_GB2312" w:eastAsia="仿宋_GB2312" w:cs="仿宋_GB2312"/>
          <w:sz w:val="34"/>
          <w:szCs w:val="34"/>
        </w:rPr>
        <w:t>包案办理，</w:t>
      </w:r>
      <w:r>
        <w:rPr>
          <w:rFonts w:hint="eastAsia" w:ascii="仿宋_GB2312" w:hAnsi="仿宋_GB2312" w:eastAsia="仿宋_GB2312" w:cs="仿宋_GB2312"/>
          <w:sz w:val="34"/>
          <w:szCs w:val="34"/>
          <w:highlight w:val="none"/>
          <w:lang w:val="en-US" w:eastAsia="zh-CN"/>
        </w:rPr>
        <w:t>接收群众信访187件，回复率100%。助力</w:t>
      </w:r>
      <w:r>
        <w:rPr>
          <w:rFonts w:hint="eastAsia" w:ascii="仿宋_GB2312" w:hAnsi="仿宋_GB2312" w:eastAsia="仿宋_GB2312" w:cs="仿宋_GB2312"/>
          <w:b w:val="0"/>
          <w:bCs w:val="0"/>
          <w:sz w:val="34"/>
          <w:szCs w:val="34"/>
          <w:lang w:val="en-US" w:eastAsia="zh-CN"/>
        </w:rPr>
        <w:t>区社会治安综合治理中心建设，建立健全“带案下访、入户走访”工作机制，发挥“检润民心”检察工作室纽带作用，强化与区镇两级综治</w:t>
      </w:r>
      <w:r>
        <w:rPr>
          <w:rFonts w:hint="eastAsia" w:ascii="仿宋_GB2312" w:hAnsi="仿宋_GB2312" w:eastAsia="仿宋_GB2312" w:cs="仿宋_GB2312"/>
          <w:b w:val="0"/>
          <w:bCs w:val="0"/>
          <w:sz w:val="34"/>
          <w:szCs w:val="34"/>
          <w:highlight w:val="none"/>
          <w:lang w:val="en-US" w:eastAsia="zh-CN"/>
        </w:rPr>
        <w:t>中心联动，以“听证+普法”工作模式化解矛盾纠纷13件，开展法治宣传2次，促</w:t>
      </w:r>
      <w:r>
        <w:rPr>
          <w:rFonts w:hint="eastAsia" w:ascii="仿宋_GB2312" w:hAnsi="仿宋_GB2312" w:eastAsia="仿宋_GB2312" w:cs="仿宋_GB2312"/>
          <w:b w:val="0"/>
          <w:bCs w:val="0"/>
          <w:sz w:val="34"/>
          <w:szCs w:val="34"/>
          <w:lang w:val="en-US" w:eastAsia="zh-CN"/>
        </w:rPr>
        <w:t>进十年执行争议纠纷实质性化解，有效推动“检察+基层治理”深度融合。</w:t>
      </w:r>
    </w:p>
    <w:p w14:paraId="24F384B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四、守护公平正义，在法律监督中彰显检察担当</w:t>
      </w:r>
    </w:p>
    <w:p w14:paraId="30650940">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rPr>
      </w:pPr>
      <w:r>
        <w:rPr>
          <w:rFonts w:hint="eastAsia" w:ascii="仿宋_GB2312" w:hAnsi="仿宋" w:eastAsia="仿宋_GB2312"/>
          <w:b w:val="0"/>
          <w:bCs w:val="0"/>
          <w:sz w:val="34"/>
          <w:szCs w:val="34"/>
        </w:rPr>
        <w:t>一年来，我们</w:t>
      </w:r>
      <w:r>
        <w:rPr>
          <w:rFonts w:hint="eastAsia" w:ascii="仿宋_GB2312" w:hAnsi="仿宋" w:eastAsia="仿宋_GB2312"/>
          <w:b w:val="0"/>
          <w:bCs w:val="0"/>
          <w:sz w:val="34"/>
          <w:szCs w:val="34"/>
          <w:lang w:val="en-US" w:eastAsia="zh-CN"/>
        </w:rPr>
        <w:t>一体做实敢于监督、善于监督，勇于开展自我监督，</w:t>
      </w:r>
      <w:r>
        <w:rPr>
          <w:rFonts w:hint="eastAsia" w:ascii="仿宋_GB2312" w:hAnsi="仿宋" w:eastAsia="仿宋_GB2312"/>
          <w:b w:val="0"/>
          <w:bCs w:val="0"/>
          <w:sz w:val="34"/>
          <w:szCs w:val="34"/>
        </w:rPr>
        <w:t>不断促进严格执法、公正司法。</w:t>
      </w:r>
    </w:p>
    <w:p w14:paraId="252BBF05">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 w:eastAsia="仿宋_GB2312"/>
          <w:b w:val="0"/>
          <w:bCs w:val="0"/>
          <w:sz w:val="34"/>
          <w:szCs w:val="34"/>
          <w:lang w:val="en-US" w:eastAsia="zh-CN"/>
        </w:rPr>
      </w:pPr>
      <w:r>
        <w:rPr>
          <w:rFonts w:hint="eastAsia" w:ascii="楷体_GB2312" w:hAnsi="楷体_GB2312" w:eastAsia="楷体_GB2312" w:cs="楷体_GB2312"/>
          <w:b w:val="0"/>
          <w:bCs w:val="0"/>
          <w:sz w:val="34"/>
          <w:szCs w:val="34"/>
          <w:highlight w:val="none"/>
          <w:lang w:val="en-US" w:eastAsia="zh-CN"/>
        </w:rPr>
        <w:t>（一）刑事检察监督夯实正义法治基石。</w:t>
      </w:r>
      <w:r>
        <w:rPr>
          <w:rFonts w:hint="eastAsia" w:ascii="仿宋_GB2312" w:hAnsi="仿宋" w:eastAsia="仿宋_GB2312"/>
          <w:b w:val="0"/>
          <w:bCs w:val="0"/>
          <w:sz w:val="34"/>
          <w:szCs w:val="34"/>
          <w:lang w:eastAsia="zh-CN"/>
        </w:rPr>
        <w:t>坚持</w:t>
      </w:r>
      <w:r>
        <w:rPr>
          <w:rFonts w:hint="eastAsia" w:ascii="仿宋_GB2312" w:hAnsi="仿宋" w:eastAsia="仿宋_GB2312"/>
          <w:b w:val="0"/>
          <w:bCs w:val="0"/>
          <w:sz w:val="34"/>
          <w:szCs w:val="34"/>
          <w:lang w:val="en-US" w:eastAsia="zh-CN"/>
        </w:rPr>
        <w:t>惩治犯罪</w:t>
      </w:r>
      <w:r>
        <w:rPr>
          <w:rFonts w:hint="eastAsia" w:ascii="仿宋_GB2312" w:hAnsi="仿宋" w:eastAsia="仿宋_GB2312"/>
          <w:b w:val="0"/>
          <w:bCs w:val="0"/>
          <w:sz w:val="34"/>
          <w:szCs w:val="34"/>
          <w:lang w:eastAsia="zh-CN"/>
        </w:rPr>
        <w:t>与保障人权并重，</w:t>
      </w:r>
      <w:r>
        <w:rPr>
          <w:rFonts w:hint="eastAsia" w:ascii="仿宋_GB2312" w:hAnsi="仿宋" w:eastAsia="仿宋_GB2312"/>
          <w:b w:val="0"/>
          <w:bCs w:val="0"/>
          <w:sz w:val="34"/>
          <w:szCs w:val="34"/>
          <w:lang w:val="en-US" w:eastAsia="zh-CN"/>
        </w:rPr>
        <w:t>推动侦协办实质化运行，提前介入重大、疑难复杂</w:t>
      </w:r>
      <w:r>
        <w:rPr>
          <w:rFonts w:hint="eastAsia" w:ascii="仿宋_GB2312" w:hAnsi="仿宋" w:eastAsia="仿宋_GB2312"/>
          <w:b w:val="0"/>
          <w:bCs w:val="0"/>
          <w:sz w:val="34"/>
          <w:szCs w:val="34"/>
          <w:highlight w:val="none"/>
          <w:lang w:val="en-US" w:eastAsia="zh-CN"/>
        </w:rPr>
        <w:t>和新型案件16件，开展刑事立案监督、侦查活动监督16件，</w:t>
      </w:r>
      <w:r>
        <w:rPr>
          <w:rFonts w:hint="eastAsia" w:ascii="仿宋_GB2312" w:hAnsi="仿宋" w:eastAsia="仿宋_GB2312"/>
          <w:b w:val="0"/>
          <w:bCs w:val="0"/>
          <w:sz w:val="34"/>
          <w:szCs w:val="34"/>
          <w:lang w:val="en-US" w:eastAsia="zh-CN"/>
        </w:rPr>
        <w:t>确保执法司法活动得到有效监督。</w:t>
      </w:r>
      <w:r>
        <w:rPr>
          <w:rFonts w:hint="eastAsia" w:ascii="仿宋_GB2312" w:hAnsi="仿宋" w:eastAsia="仿宋_GB2312"/>
          <w:b w:val="0"/>
          <w:bCs w:val="0"/>
          <w:sz w:val="34"/>
          <w:szCs w:val="34"/>
          <w:highlight w:val="none"/>
          <w:lang w:val="en-US" w:eastAsia="zh-CN"/>
        </w:rPr>
        <w:t>加强刑事审判监督，制发纠正审理违法意见书，同时</w:t>
      </w:r>
      <w:r>
        <w:rPr>
          <w:rFonts w:hint="eastAsia" w:ascii="仿宋_GB2312" w:hAnsi="仿宋" w:eastAsia="仿宋_GB2312"/>
          <w:b w:val="0"/>
          <w:bCs w:val="0"/>
          <w:sz w:val="34"/>
          <w:szCs w:val="34"/>
          <w:lang w:val="en-US" w:eastAsia="zh-CN"/>
        </w:rPr>
        <w:t>就电信网络诈骗类案</w:t>
      </w:r>
      <w:r>
        <w:rPr>
          <w:rFonts w:hint="eastAsia" w:ascii="仿宋_GB2312" w:hAnsi="仿宋" w:eastAsia="仿宋_GB2312"/>
          <w:b w:val="0"/>
          <w:bCs w:val="0"/>
          <w:sz w:val="34"/>
          <w:szCs w:val="34"/>
          <w:highlight w:val="none"/>
          <w:lang w:val="en-US" w:eastAsia="zh-CN"/>
        </w:rPr>
        <w:t>与区法院联合会商，</w:t>
      </w:r>
      <w:r>
        <w:rPr>
          <w:rFonts w:hint="eastAsia" w:ascii="仿宋_GB2312" w:hAnsi="仿宋" w:eastAsia="仿宋_GB2312"/>
          <w:b w:val="0"/>
          <w:bCs w:val="0"/>
          <w:sz w:val="34"/>
          <w:szCs w:val="34"/>
          <w:lang w:val="en-US" w:eastAsia="zh-CN"/>
        </w:rPr>
        <w:t>明确诉判衔接标准，根治“类案不同判”。强化刑事执行检察监督，落实“派驻+巡回+科技”工作机制，纠正违法违规行为</w:t>
      </w:r>
      <w:r>
        <w:rPr>
          <w:rFonts w:hint="eastAsia" w:ascii="仿宋_GB2312" w:hAnsi="仿宋" w:eastAsia="仿宋_GB2312"/>
          <w:b w:val="0"/>
          <w:bCs w:val="0"/>
          <w:sz w:val="34"/>
          <w:szCs w:val="34"/>
          <w:highlight w:val="none"/>
          <w:lang w:val="en-US" w:eastAsia="zh-CN"/>
        </w:rPr>
        <w:t>32件。组织开展社区矫正专项监督，召开座谈会破解重点难点问题，以“常驻+巡回”监督新模式打造社区矫正工作优质标杆。</w:t>
      </w:r>
    </w:p>
    <w:p w14:paraId="4172C86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（二）民事行政检察监督</w:t>
      </w:r>
      <w:r>
        <w:rPr>
          <w:rFonts w:hint="eastAsia" w:ascii="楷体_GB2312" w:hAnsi="楷体_GB2312" w:eastAsia="楷体_GB2312" w:cs="楷体_GB2312"/>
          <w:b w:val="0"/>
          <w:bCs w:val="0"/>
          <w:sz w:val="34"/>
          <w:szCs w:val="34"/>
          <w:highlight w:val="none"/>
          <w:lang w:val="en-US" w:eastAsia="zh-CN"/>
        </w:rPr>
        <w:t>守护民生民利</w:t>
      </w:r>
      <w:r>
        <w:rPr>
          <w:rFonts w:hint="eastAsia" w:ascii="楷体_GB2312" w:hAnsi="楷体_GB2312" w:eastAsia="楷体_GB2312" w:cs="楷体_GB2312"/>
          <w:b w:val="0"/>
          <w:bCs w:val="0"/>
          <w:sz w:val="34"/>
          <w:szCs w:val="34"/>
          <w:lang w:val="en-US" w:eastAsia="zh-CN"/>
        </w:rPr>
        <w:t>。</w:t>
      </w:r>
      <w:r>
        <w:rPr>
          <w:rFonts w:hint="eastAsia" w:ascii="仿宋_GB2312" w:hAnsi="仿宋" w:eastAsia="仿宋_GB2312"/>
          <w:b w:val="0"/>
          <w:bCs w:val="0"/>
          <w:sz w:val="34"/>
          <w:szCs w:val="34"/>
          <w:highlight w:val="none"/>
          <w:lang w:val="en-US" w:eastAsia="zh-CN"/>
        </w:rPr>
        <w:t>办理民事检察监督案件和行政检察监督案件35件，对民事审判、执行活动违法情形提出检察建议9件。</w:t>
      </w:r>
      <w:r>
        <w:rPr>
          <w:rFonts w:hint="eastAsia" w:ascii="仿宋_GB2312" w:hAnsi="仿宋" w:eastAsia="仿宋_GB2312"/>
          <w:b w:val="0"/>
          <w:bCs w:val="0"/>
          <w:sz w:val="34"/>
          <w:szCs w:val="34"/>
          <w:lang w:val="en-US" w:eastAsia="zh-CN"/>
        </w:rPr>
        <w:t>持续推进虚假诉讼专项监督，对</w:t>
      </w:r>
      <w:r>
        <w:rPr>
          <w:rFonts w:hint="eastAsia" w:ascii="仿宋_GB2312" w:hAnsi="仿宋" w:eastAsia="仿宋_GB2312"/>
          <w:b w:val="0"/>
          <w:bCs w:val="0"/>
          <w:sz w:val="34"/>
          <w:szCs w:val="34"/>
          <w:highlight w:val="none"/>
          <w:lang w:val="en-US" w:eastAsia="zh-CN"/>
        </w:rPr>
        <w:t>一起时间跨度20年的涉土地虚假诉讼案制发再审检察建议。</w:t>
      </w:r>
      <w:r>
        <w:rPr>
          <w:rFonts w:hint="eastAsia" w:ascii="仿宋_GB2312" w:hAnsi="仿宋" w:eastAsia="仿宋_GB2312"/>
          <w:b w:val="0"/>
          <w:bCs w:val="0"/>
          <w:sz w:val="34"/>
          <w:szCs w:val="34"/>
          <w:lang w:val="en-US" w:eastAsia="zh-CN"/>
        </w:rPr>
        <w:t>扎实开展行政争议实质性化解，促使行政机关柔性执法，有力为人民群众纾困解难。</w:t>
      </w:r>
      <w:bookmarkStart w:id="4" w:name="OLE_LINK5"/>
      <w:r>
        <w:rPr>
          <w:rFonts w:hint="eastAsia" w:ascii="仿宋_GB2312" w:hAnsi="仿宋" w:eastAsia="仿宋_GB2312"/>
          <w:b w:val="0"/>
          <w:bCs w:val="0"/>
          <w:sz w:val="34"/>
          <w:szCs w:val="34"/>
          <w:lang w:val="en-US" w:eastAsia="zh-CN"/>
        </w:rPr>
        <w:t>创新打造“不起诉+行政处罚”一体化工作模式，全面落实</w:t>
      </w:r>
      <w:r>
        <w:rPr>
          <w:rFonts w:hint="eastAsia" w:ascii="仿宋_GB2312" w:hAnsi="仿宋" w:eastAsia="仿宋_GB2312" w:cstheme="minorBidi"/>
          <w:kern w:val="2"/>
          <w:sz w:val="34"/>
          <w:szCs w:val="34"/>
          <w:lang w:val="en-US" w:eastAsia="zh-CN" w:bidi="ar-SA"/>
        </w:rPr>
        <w:t>拟不起诉案件行刑反向衔接告知制度</w:t>
      </w:r>
      <w:r>
        <w:rPr>
          <w:rFonts w:hint="eastAsia" w:ascii="仿宋_GB2312" w:hAnsi="仿宋" w:eastAsia="仿宋_GB2312"/>
          <w:b w:val="0"/>
          <w:bCs w:val="0"/>
          <w:sz w:val="34"/>
          <w:szCs w:val="34"/>
          <w:lang w:val="en-US" w:eastAsia="zh-CN"/>
        </w:rPr>
        <w:t>，建立专人联络机制和常态化对话平台，</w:t>
      </w:r>
      <w:r>
        <w:rPr>
          <w:rFonts w:hint="eastAsia" w:ascii="仿宋_GB2312" w:hAnsi="仿宋" w:eastAsia="仿宋_GB2312"/>
          <w:b w:val="0"/>
          <w:bCs w:val="0"/>
          <w:sz w:val="34"/>
          <w:szCs w:val="34"/>
          <w:highlight w:val="none"/>
          <w:lang w:val="en-US" w:eastAsia="zh-CN"/>
        </w:rPr>
        <w:t>办理相关案件27件，</w:t>
      </w:r>
      <w:bookmarkEnd w:id="4"/>
      <w:r>
        <w:rPr>
          <w:rFonts w:hint="eastAsia" w:ascii="仿宋_GB2312" w:hAnsi="仿宋" w:eastAsia="仿宋_GB2312"/>
          <w:b w:val="0"/>
          <w:bCs w:val="0"/>
          <w:sz w:val="34"/>
          <w:szCs w:val="34"/>
          <w:lang w:val="en-US" w:eastAsia="zh-CN"/>
        </w:rPr>
        <w:t>有效提升行刑反向衔接工作质效。</w:t>
      </w:r>
    </w:p>
    <w:p w14:paraId="31F4EDC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highlight w:val="none"/>
          <w:lang w:val="en-US" w:eastAsia="zh-CN"/>
        </w:rPr>
      </w:pPr>
      <w:r>
        <w:rPr>
          <w:rFonts w:hint="eastAsia" w:ascii="楷体_GB2312" w:hAnsi="楷体_GB2312" w:eastAsia="楷体_GB2312" w:cs="楷体_GB2312"/>
          <w:b w:val="0"/>
          <w:bCs w:val="0"/>
          <w:sz w:val="34"/>
          <w:szCs w:val="34"/>
          <w:highlight w:val="none"/>
          <w:lang w:val="en-US" w:eastAsia="zh-CN"/>
        </w:rPr>
        <w:t>（三）公益诉讼检察监督筑牢安全屏障。</w:t>
      </w:r>
      <w:r>
        <w:rPr>
          <w:rFonts w:hint="eastAsia" w:ascii="仿宋_GB2312" w:hAnsi="仿宋" w:eastAsia="仿宋_GB2312" w:cs="Times New Roman"/>
          <w:b w:val="0"/>
          <w:bCs w:val="0"/>
          <w:sz w:val="34"/>
          <w:szCs w:val="34"/>
          <w:lang w:val="en-US" w:eastAsia="zh-CN"/>
        </w:rPr>
        <w:t>办理公益诉讼案</w:t>
      </w:r>
      <w:r>
        <w:rPr>
          <w:rFonts w:hint="eastAsia" w:ascii="仿宋_GB2312" w:hAnsi="仿宋" w:eastAsia="仿宋_GB2312"/>
          <w:b w:val="0"/>
          <w:bCs w:val="0"/>
          <w:sz w:val="34"/>
          <w:szCs w:val="34"/>
          <w:lang w:val="en-US" w:eastAsia="zh-CN"/>
        </w:rPr>
        <w:t>件</w:t>
      </w:r>
      <w:r>
        <w:rPr>
          <w:rFonts w:hint="eastAsia" w:ascii="仿宋_GB2312" w:hAnsi="仿宋" w:eastAsia="仿宋_GB2312"/>
          <w:b w:val="0"/>
          <w:bCs w:val="0"/>
          <w:sz w:val="34"/>
          <w:szCs w:val="34"/>
          <w:highlight w:val="none"/>
          <w:lang w:val="en-US" w:eastAsia="zh-CN"/>
        </w:rPr>
        <w:t>54件，制发检察建议、磋商意见书42份。</w:t>
      </w:r>
      <w:r>
        <w:rPr>
          <w:rFonts w:hint="eastAsia" w:ascii="仿宋_GB2312" w:hAnsi="仿宋" w:eastAsia="仿宋_GB2312"/>
          <w:b w:val="0"/>
          <w:bCs w:val="0"/>
          <w:sz w:val="34"/>
          <w:szCs w:val="34"/>
          <w:lang w:val="en-US" w:eastAsia="zh-CN"/>
        </w:rPr>
        <w:t>依托“河长+检察长”工作机制，清除违规种植高秆作物200余亩，守护大洼水系生</w:t>
      </w:r>
      <w:r>
        <w:rPr>
          <w:rFonts w:hint="eastAsia" w:ascii="仿宋_GB2312" w:hAnsi="仿宋" w:eastAsia="仿宋_GB2312" w:cs="Times New Roman"/>
          <w:b w:val="0"/>
          <w:bCs w:val="0"/>
          <w:sz w:val="34"/>
          <w:szCs w:val="34"/>
          <w:lang w:val="en-US" w:eastAsia="zh-CN"/>
        </w:rPr>
        <w:t>态安全。立足“河海交汇”区位特点，构建“刑事打击+公益诉讼+生态修复”全链条司法保护。联合市检察院、区农业农村局等单位设立全市首个公益诉讼生态环境修复增殖放流基地，开展全市首次增殖放流活动，相关经验被《人民日报》《检察日报》等多家媒体报道。持续建</w:t>
      </w:r>
      <w:r>
        <w:rPr>
          <w:rFonts w:hint="eastAsia" w:ascii="仿宋_GB2312" w:hAnsi="仿宋" w:eastAsia="仿宋_GB2312"/>
          <w:b w:val="0"/>
          <w:bCs w:val="0"/>
          <w:sz w:val="34"/>
          <w:szCs w:val="34"/>
          <w:highlight w:val="none"/>
          <w:lang w:val="en-US" w:eastAsia="zh-CN"/>
        </w:rPr>
        <w:t>强“心禾护益”检察品牌，积极开展成品油治理、个人信息安全等专项监督，制发检察建议并督促行政机关积极履职，有效解决人民群众身边堵点难点问题。</w:t>
      </w:r>
    </w:p>
    <w:p w14:paraId="7118FDDA">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 w:eastAsia="仿宋_GB2312"/>
          <w:b w:val="0"/>
          <w:bCs w:val="0"/>
          <w:sz w:val="34"/>
          <w:szCs w:val="34"/>
          <w:lang w:val="en-US" w:eastAsia="zh-CN"/>
        </w:rPr>
      </w:pPr>
      <w:r>
        <w:rPr>
          <w:rFonts w:hint="eastAsia" w:ascii="楷体_GB2312" w:hAnsi="楷体_GB2312" w:eastAsia="楷体_GB2312" w:cs="楷体_GB2312"/>
          <w:b w:val="0"/>
          <w:bCs w:val="0"/>
          <w:sz w:val="34"/>
          <w:szCs w:val="34"/>
          <w:highlight w:val="none"/>
          <w:lang w:val="en-US" w:eastAsia="zh-CN"/>
        </w:rPr>
        <w:t>（四）践行全过程人民民主护航司法公正。</w:t>
      </w:r>
      <w:r>
        <w:rPr>
          <w:rFonts w:hint="eastAsia" w:ascii="仿宋_GB2312" w:hAnsi="仿宋" w:eastAsia="仿宋_GB2312"/>
          <w:b w:val="0"/>
          <w:bCs w:val="0"/>
          <w:sz w:val="34"/>
          <w:szCs w:val="34"/>
          <w:lang w:val="en-US" w:eastAsia="zh-CN"/>
        </w:rPr>
        <w:t>自觉接受人大监督，主动向同级人大及其常委会报告检察工作1次，积极配合区人大、市政协开展</w:t>
      </w:r>
      <w:r>
        <w:rPr>
          <w:rFonts w:hint="eastAsia" w:ascii="仿宋_GB2312" w:hAnsi="仿宋" w:eastAsia="仿宋_GB2312"/>
          <w:b w:val="0"/>
          <w:bCs w:val="0"/>
          <w:sz w:val="34"/>
          <w:szCs w:val="34"/>
          <w:highlight w:val="none"/>
          <w:lang w:val="en-US" w:eastAsia="zh-CN"/>
        </w:rPr>
        <w:t>专题调研、述职评议等活动3次</w:t>
      </w:r>
      <w:r>
        <w:rPr>
          <w:rFonts w:hint="eastAsia" w:ascii="仿宋_GB2312" w:hAnsi="仿宋" w:eastAsia="仿宋_GB2312"/>
          <w:b w:val="0"/>
          <w:bCs w:val="0"/>
          <w:sz w:val="34"/>
          <w:szCs w:val="34"/>
          <w:lang w:val="en-US" w:eastAsia="zh-CN"/>
        </w:rPr>
        <w:t>。主动接受民主监督，邀请人大代表、政协委员和在校师生参加检察开放日</w:t>
      </w:r>
      <w:r>
        <w:rPr>
          <w:rFonts w:hint="eastAsia" w:ascii="仿宋_GB2312" w:hAnsi="仿宋" w:eastAsia="仿宋_GB2312"/>
          <w:b w:val="0"/>
          <w:bCs w:val="0"/>
          <w:sz w:val="34"/>
          <w:szCs w:val="34"/>
          <w:highlight w:val="none"/>
          <w:lang w:val="en-US" w:eastAsia="zh-CN"/>
        </w:rPr>
        <w:t>2次。拓宽群众有序参与和监督司法的渠道，邀请人民监督员对10件在办案件进行监督，确保检察权依法规范运行。全面深化检务公开，公布案件程序性信息390件，组织召开</w:t>
      </w:r>
      <w:r>
        <w:rPr>
          <w:rFonts w:hint="eastAsia" w:ascii="仿宋_GB2312" w:hAnsi="仿宋" w:eastAsia="仿宋_GB2312"/>
          <w:b w:val="0"/>
          <w:bCs w:val="0"/>
          <w:sz w:val="34"/>
          <w:szCs w:val="34"/>
          <w:lang w:val="en-US" w:eastAsia="zh-CN"/>
        </w:rPr>
        <w:t>公开听证27次，</w:t>
      </w:r>
      <w:r>
        <w:rPr>
          <w:rFonts w:hint="eastAsia" w:ascii="仿宋_GB2312" w:hAnsi="仿宋" w:eastAsia="仿宋_GB2312"/>
          <w:b w:val="0"/>
          <w:bCs w:val="0"/>
          <w:sz w:val="34"/>
          <w:szCs w:val="34"/>
          <w:highlight w:val="none"/>
          <w:lang w:val="en-US" w:eastAsia="zh-CN"/>
        </w:rPr>
        <w:t>发布工作动态600余条，</w:t>
      </w:r>
      <w:r>
        <w:rPr>
          <w:rFonts w:hint="eastAsia" w:ascii="仿宋_GB2312" w:hAnsi="仿宋" w:eastAsia="仿宋_GB2312"/>
          <w:b w:val="0"/>
          <w:bCs w:val="0"/>
          <w:sz w:val="34"/>
          <w:szCs w:val="34"/>
          <w:lang w:val="en-US" w:eastAsia="zh-CN"/>
        </w:rPr>
        <w:t>让司法活动在阳光下运行。</w:t>
      </w:r>
    </w:p>
    <w:p w14:paraId="5FA6CD3F">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五、全面从严治检，在强基固本中提升队伍素能</w:t>
      </w:r>
    </w:p>
    <w:p w14:paraId="76D970F5">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highlight w:val="yellow"/>
          <w:lang w:val="en-US" w:eastAsia="zh-CN"/>
        </w:rPr>
      </w:pPr>
      <w:r>
        <w:rPr>
          <w:rFonts w:hint="eastAsia" w:ascii="仿宋_GB2312" w:hAnsi="仿宋" w:eastAsia="仿宋_GB2312"/>
          <w:b w:val="0"/>
          <w:bCs w:val="0"/>
          <w:sz w:val="34"/>
          <w:szCs w:val="34"/>
          <w:lang w:val="en-US" w:eastAsia="zh-CN"/>
        </w:rPr>
        <w:t>一年来，我们始终坚持“打铁必须自身硬”，一体抓实“三个管理”，着力锻造一支高素质检察队伍。</w:t>
      </w:r>
    </w:p>
    <w:p w14:paraId="262505E9">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sz w:val="34"/>
          <w:szCs w:val="34"/>
          <w:lang w:val="en-US" w:eastAsia="zh-CN"/>
        </w:rPr>
      </w:pPr>
      <w:r>
        <w:rPr>
          <w:rFonts w:hint="eastAsia" w:ascii="楷体_GB2312" w:hAnsi="楷体_GB2312" w:eastAsia="楷体_GB2312" w:cs="楷体_GB2312"/>
          <w:b w:val="0"/>
          <w:bCs w:val="0"/>
          <w:sz w:val="34"/>
          <w:szCs w:val="34"/>
          <w:lang w:val="en-US" w:eastAsia="zh-CN"/>
        </w:rPr>
        <w:t>（一）深化全面从严管党治检。</w:t>
      </w:r>
      <w:r>
        <w:rPr>
          <w:rFonts w:hint="eastAsia" w:ascii="仿宋_GB2312" w:hAnsi="仿宋_GB2312" w:eastAsia="仿宋_GB2312" w:cs="仿宋_GB2312"/>
          <w:sz w:val="34"/>
          <w:szCs w:val="34"/>
          <w:lang w:val="en-US" w:eastAsia="zh-CN"/>
        </w:rPr>
        <w:t>坚持严管就是厚爱，深入开展学习贯彻中央八项规定精神学习教育，筑牢拒腐防变思想防线。主动接受、配合市委开展政治巡察，高标准、高站位做好巡察反馈问题整改落实，切实把整改成果转化为推动检察工作健康发展的不竭动力。扎实开展作风建设年活动和纪律作风整顿专项活动，驰而不息加强纪律作风建设。</w:t>
      </w:r>
    </w:p>
    <w:p w14:paraId="5BA0E8E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楷体_GB2312" w:hAnsi="楷体_GB2312" w:eastAsia="楷体_GB2312" w:cs="楷体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（二）着力提升“三个管理”水平。</w:t>
      </w:r>
      <w:r>
        <w:rPr>
          <w:rFonts w:hint="eastAsia" w:ascii="仿宋_GB2312" w:hAnsi="仿宋" w:eastAsia="仿宋_GB2312" w:cs="Times New Roman"/>
          <w:b w:val="0"/>
          <w:bCs w:val="0"/>
          <w:sz w:val="34"/>
          <w:szCs w:val="34"/>
          <w:lang w:val="en-US" w:eastAsia="zh-CN"/>
        </w:rPr>
        <w:t>站稳业务管理制高点，定期分析研判办案质效，随时校正检察工作运行方向。找准案件管理靶向点，不断优化流程闭环管控，把司法责任制落实到检察办案全过程各环节。抓好质量管理落脚点，严格落实“每案必检”要求，通过“自查+互查+评查”，推动司法办案质效持续提升。</w:t>
      </w:r>
    </w:p>
    <w:p w14:paraId="35C61B80">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lang w:val="en-US" w:eastAsia="zh-CN"/>
        </w:rPr>
      </w:pPr>
      <w:r>
        <w:rPr>
          <w:rFonts w:hint="eastAsia" w:ascii="楷体_GB2312" w:hAnsi="楷体_GB2312" w:eastAsia="楷体_GB2312" w:cs="楷体_GB2312"/>
          <w:b w:val="0"/>
          <w:bCs w:val="0"/>
          <w:sz w:val="34"/>
          <w:szCs w:val="34"/>
          <w:lang w:val="en-US" w:eastAsia="zh-CN"/>
        </w:rPr>
        <w:t>（三）着力</w:t>
      </w:r>
      <w:bookmarkStart w:id="5" w:name="OLE_LINK4"/>
      <w:r>
        <w:rPr>
          <w:rFonts w:hint="eastAsia" w:ascii="楷体_GB2312" w:hAnsi="楷体_GB2312" w:eastAsia="楷体_GB2312" w:cs="楷体_GB2312"/>
          <w:b w:val="0"/>
          <w:bCs w:val="0"/>
          <w:sz w:val="34"/>
          <w:szCs w:val="34"/>
          <w:lang w:val="en-US" w:eastAsia="zh-CN"/>
        </w:rPr>
        <w:t>培育优秀人才队伍</w:t>
      </w:r>
      <w:bookmarkEnd w:id="5"/>
      <w:r>
        <w:rPr>
          <w:rFonts w:hint="eastAsia" w:ascii="楷体_GB2312" w:hAnsi="楷体_GB2312" w:eastAsia="楷体_GB2312" w:cs="楷体_GB2312"/>
          <w:b w:val="0"/>
          <w:bCs w:val="0"/>
          <w:sz w:val="34"/>
          <w:szCs w:val="34"/>
          <w:lang w:val="en-US" w:eastAsia="zh-CN"/>
        </w:rPr>
        <w:t>。</w:t>
      </w:r>
      <w:r>
        <w:rPr>
          <w:rFonts w:hint="eastAsia" w:ascii="仿宋_GB2312" w:hAnsi="仿宋" w:eastAsia="仿宋_GB2312" w:cs="Times New Roman"/>
          <w:b w:val="0"/>
          <w:bCs w:val="0"/>
          <w:sz w:val="34"/>
          <w:szCs w:val="34"/>
          <w:lang w:val="en-US" w:eastAsia="zh-CN"/>
        </w:rPr>
        <w:t>以“学习型检察院”建设为依托，提升全体检察人员“三个善于”能力水平。大力实施“文化润检、文化强检”，打造集检察文化、党建活动、法律沙龙于一体的检察文化阵地，扎实推进青年检察人才培塑。牢固树立正确选人用人导向，选优配强5名优秀青年人才。</w:t>
      </w:r>
    </w:p>
    <w:p w14:paraId="319CA5D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highlight w:val="none"/>
          <w:lang w:val="en-US" w:eastAsia="zh-CN"/>
        </w:rPr>
      </w:pPr>
      <w:r>
        <w:rPr>
          <w:rFonts w:hint="eastAsia" w:ascii="仿宋_GB2312" w:hAnsi="仿宋" w:eastAsia="仿宋_GB2312"/>
          <w:b w:val="0"/>
          <w:bCs w:val="0"/>
          <w:sz w:val="34"/>
          <w:szCs w:val="34"/>
          <w:highlight w:val="none"/>
          <w:lang w:val="en-US" w:eastAsia="zh-CN"/>
        </w:rPr>
        <w:t>各位代表，过去一年大洼检察工作取得的成绩，离不开区委和市检察院的正确领导，离不开区人大及其常委会的有力监督，离不开区政府、区政协以及各位代表、委员和社会各界的关心支持。在此，我谨代表区检察院表示衷心的感谢！</w:t>
      </w:r>
    </w:p>
    <w:p w14:paraId="32DCE72D">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sz w:val="34"/>
          <w:szCs w:val="34"/>
          <w:highlight w:val="none"/>
        </w:rPr>
      </w:pPr>
      <w:r>
        <w:rPr>
          <w:rFonts w:hint="eastAsia" w:ascii="仿宋_GB2312" w:hAnsi="仿宋" w:eastAsia="仿宋_GB2312"/>
          <w:b w:val="0"/>
          <w:bCs w:val="0"/>
          <w:sz w:val="34"/>
          <w:szCs w:val="34"/>
          <w:highlight w:val="none"/>
          <w:lang w:val="en-US" w:eastAsia="zh-CN"/>
        </w:rPr>
        <w:t>与此同时，我们也清醒地认识到当前还存在一些问题和不足，</w:t>
      </w:r>
      <w:r>
        <w:rPr>
          <w:rFonts w:hint="eastAsia" w:ascii="仿宋_GB2312" w:hAnsi="仿宋" w:eastAsia="仿宋_GB2312"/>
          <w:b/>
          <w:bCs/>
          <w:sz w:val="34"/>
          <w:szCs w:val="34"/>
          <w:highlight w:val="none"/>
          <w:lang w:val="en-US" w:eastAsia="zh-CN"/>
        </w:rPr>
        <w:t>一是</w:t>
      </w:r>
      <w:r>
        <w:rPr>
          <w:rFonts w:hint="eastAsia" w:ascii="仿宋_GB2312" w:hAnsi="仿宋" w:eastAsia="仿宋_GB2312"/>
          <w:b w:val="0"/>
          <w:bCs w:val="0"/>
          <w:sz w:val="34"/>
          <w:szCs w:val="34"/>
          <w:highlight w:val="none"/>
        </w:rPr>
        <w:t>运用习近平法治思想指导检察</w:t>
      </w:r>
      <w:r>
        <w:rPr>
          <w:rFonts w:hint="eastAsia" w:ascii="仿宋_GB2312" w:hAnsi="仿宋" w:eastAsia="仿宋_GB2312"/>
          <w:b w:val="0"/>
          <w:bCs w:val="0"/>
          <w:sz w:val="34"/>
          <w:szCs w:val="34"/>
          <w:highlight w:val="none"/>
          <w:lang w:val="en-US" w:eastAsia="zh-CN"/>
        </w:rPr>
        <w:t>工作实践</w:t>
      </w:r>
      <w:r>
        <w:rPr>
          <w:rFonts w:hint="eastAsia" w:ascii="仿宋_GB2312" w:hAnsi="仿宋" w:eastAsia="仿宋_GB2312"/>
          <w:b w:val="0"/>
          <w:bCs w:val="0"/>
          <w:sz w:val="34"/>
          <w:szCs w:val="34"/>
          <w:highlight w:val="none"/>
        </w:rPr>
        <w:t>仍需加强，服务保障</w:t>
      </w:r>
      <w:r>
        <w:rPr>
          <w:rFonts w:hint="eastAsia" w:ascii="仿宋_GB2312" w:hAnsi="仿宋" w:eastAsia="仿宋_GB2312"/>
          <w:b w:val="0"/>
          <w:bCs w:val="0"/>
          <w:sz w:val="34"/>
          <w:szCs w:val="34"/>
          <w:highlight w:val="none"/>
          <w:lang w:val="en-US" w:eastAsia="zh-CN"/>
        </w:rPr>
        <w:t>大洼经济社会高质量发展</w:t>
      </w:r>
      <w:r>
        <w:rPr>
          <w:rFonts w:hint="eastAsia" w:ascii="仿宋_GB2312" w:hAnsi="仿宋" w:eastAsia="仿宋_GB2312"/>
          <w:b w:val="0"/>
          <w:bCs w:val="0"/>
          <w:sz w:val="34"/>
          <w:szCs w:val="34"/>
          <w:highlight w:val="none"/>
        </w:rPr>
        <w:t>的举措还需进一步做实；</w:t>
      </w:r>
      <w:r>
        <w:rPr>
          <w:rFonts w:hint="eastAsia" w:ascii="仿宋_GB2312" w:hAnsi="仿宋" w:eastAsia="仿宋_GB2312"/>
          <w:b/>
          <w:bCs/>
          <w:sz w:val="34"/>
          <w:szCs w:val="34"/>
          <w:highlight w:val="none"/>
          <w:lang w:val="en-US" w:eastAsia="zh-CN"/>
        </w:rPr>
        <w:t>二是</w:t>
      </w:r>
      <w:r>
        <w:rPr>
          <w:rFonts w:hint="eastAsia" w:ascii="仿宋_GB2312" w:hAnsi="仿宋" w:eastAsia="仿宋_GB2312"/>
          <w:b w:val="0"/>
          <w:bCs w:val="0"/>
          <w:sz w:val="34"/>
          <w:szCs w:val="34"/>
          <w:highlight w:val="none"/>
        </w:rPr>
        <w:t>法律监督能力、监督质效有待进一步提升，</w:t>
      </w:r>
      <w:r>
        <w:rPr>
          <w:rFonts w:hint="eastAsia" w:ascii="仿宋_GB2312" w:hAnsi="仿宋" w:eastAsia="仿宋_GB2312"/>
          <w:b w:val="0"/>
          <w:bCs w:val="0"/>
          <w:sz w:val="34"/>
          <w:szCs w:val="34"/>
          <w:highlight w:val="none"/>
          <w:lang w:val="en-US" w:eastAsia="zh-CN"/>
        </w:rPr>
        <w:t>智能化建设</w:t>
      </w:r>
      <w:r>
        <w:rPr>
          <w:rFonts w:hint="eastAsia" w:ascii="仿宋_GB2312" w:hAnsi="仿宋" w:eastAsia="仿宋_GB2312"/>
          <w:b w:val="0"/>
          <w:bCs w:val="0"/>
          <w:sz w:val="34"/>
          <w:szCs w:val="34"/>
          <w:highlight w:val="none"/>
          <w:lang w:eastAsia="zh-CN"/>
        </w:rPr>
        <w:t>还存在薄弱环节，</w:t>
      </w:r>
      <w:r>
        <w:rPr>
          <w:rFonts w:hint="eastAsia" w:ascii="仿宋_GB2312" w:hAnsi="仿宋" w:eastAsia="仿宋_GB2312"/>
          <w:b w:val="0"/>
          <w:bCs w:val="0"/>
          <w:sz w:val="34"/>
          <w:szCs w:val="34"/>
          <w:highlight w:val="none"/>
        </w:rPr>
        <w:t>精准监督、深层次监督还有待加强；</w:t>
      </w:r>
      <w:r>
        <w:rPr>
          <w:rFonts w:hint="eastAsia" w:ascii="仿宋_GB2312" w:hAnsi="仿宋" w:eastAsia="仿宋_GB2312"/>
          <w:b/>
          <w:bCs/>
          <w:sz w:val="34"/>
          <w:szCs w:val="34"/>
          <w:highlight w:val="none"/>
          <w:lang w:val="en-US" w:eastAsia="zh-CN"/>
        </w:rPr>
        <w:t>三是</w:t>
      </w:r>
      <w:r>
        <w:rPr>
          <w:rFonts w:hint="eastAsia" w:ascii="仿宋_GB2312" w:hAnsi="仿宋" w:eastAsia="仿宋_GB2312"/>
          <w:b w:val="0"/>
          <w:bCs w:val="0"/>
          <w:sz w:val="34"/>
          <w:szCs w:val="34"/>
          <w:highlight w:val="none"/>
        </w:rPr>
        <w:t>专业化</w:t>
      </w:r>
      <w:r>
        <w:rPr>
          <w:rFonts w:hint="eastAsia" w:ascii="仿宋_GB2312" w:hAnsi="仿宋" w:eastAsia="仿宋_GB2312"/>
          <w:b w:val="0"/>
          <w:bCs w:val="0"/>
          <w:sz w:val="34"/>
          <w:szCs w:val="34"/>
          <w:highlight w:val="none"/>
          <w:lang w:val="en-US" w:eastAsia="zh-CN"/>
        </w:rPr>
        <w:t>建设</w:t>
      </w:r>
      <w:r>
        <w:rPr>
          <w:rFonts w:hint="eastAsia" w:ascii="仿宋_GB2312" w:hAnsi="仿宋" w:eastAsia="仿宋_GB2312"/>
          <w:b w:val="0"/>
          <w:bCs w:val="0"/>
          <w:sz w:val="34"/>
          <w:szCs w:val="34"/>
          <w:highlight w:val="none"/>
        </w:rPr>
        <w:t>、人才梯队建设</w:t>
      </w:r>
      <w:r>
        <w:rPr>
          <w:rFonts w:hint="eastAsia" w:ascii="仿宋_GB2312" w:hAnsi="仿宋" w:eastAsia="仿宋_GB2312"/>
          <w:b w:val="0"/>
          <w:bCs w:val="0"/>
          <w:sz w:val="34"/>
          <w:szCs w:val="34"/>
          <w:highlight w:val="none"/>
          <w:lang w:val="en-US" w:eastAsia="zh-CN"/>
        </w:rPr>
        <w:t>仍存在短板</w:t>
      </w:r>
      <w:r>
        <w:rPr>
          <w:rFonts w:hint="eastAsia" w:ascii="仿宋_GB2312" w:hAnsi="仿宋" w:eastAsia="仿宋_GB2312"/>
          <w:b w:val="0"/>
          <w:bCs w:val="0"/>
          <w:sz w:val="34"/>
          <w:szCs w:val="34"/>
          <w:highlight w:val="none"/>
          <w:lang w:eastAsia="zh-CN"/>
        </w:rPr>
        <w:t>，</w:t>
      </w:r>
      <w:r>
        <w:rPr>
          <w:rFonts w:hint="eastAsia" w:ascii="仿宋_GB2312" w:hAnsi="仿宋" w:eastAsia="仿宋_GB2312"/>
          <w:b w:val="0"/>
          <w:bCs w:val="0"/>
          <w:sz w:val="34"/>
          <w:szCs w:val="34"/>
          <w:highlight w:val="none"/>
          <w:lang w:val="en-US" w:eastAsia="zh-CN"/>
        </w:rPr>
        <w:t>队伍</w:t>
      </w:r>
      <w:r>
        <w:rPr>
          <w:rFonts w:hint="eastAsia" w:ascii="仿宋_GB2312" w:hAnsi="仿宋" w:eastAsia="仿宋_GB2312"/>
          <w:b w:val="0"/>
          <w:bCs w:val="0"/>
          <w:sz w:val="34"/>
          <w:szCs w:val="34"/>
          <w:highlight w:val="none"/>
        </w:rPr>
        <w:t>综合素能</w:t>
      </w:r>
      <w:r>
        <w:rPr>
          <w:rFonts w:hint="eastAsia" w:ascii="仿宋_GB2312" w:hAnsi="仿宋" w:eastAsia="仿宋_GB2312"/>
          <w:b w:val="0"/>
          <w:bCs w:val="0"/>
          <w:sz w:val="34"/>
          <w:szCs w:val="34"/>
          <w:highlight w:val="none"/>
          <w:lang w:val="en-US" w:eastAsia="zh-CN"/>
        </w:rPr>
        <w:t>有待提升</w:t>
      </w:r>
      <w:r>
        <w:rPr>
          <w:rFonts w:hint="eastAsia" w:ascii="仿宋_GB2312" w:hAnsi="仿宋" w:eastAsia="仿宋_GB2312"/>
          <w:b w:val="0"/>
          <w:bCs w:val="0"/>
          <w:sz w:val="34"/>
          <w:szCs w:val="34"/>
          <w:highlight w:val="none"/>
        </w:rPr>
        <w:t>，</w:t>
      </w:r>
      <w:r>
        <w:rPr>
          <w:rFonts w:hint="eastAsia" w:ascii="仿宋_GB2312" w:hAnsi="仿宋" w:eastAsia="仿宋_GB2312"/>
          <w:b w:val="0"/>
          <w:bCs w:val="0"/>
          <w:sz w:val="34"/>
          <w:szCs w:val="34"/>
          <w:highlight w:val="none"/>
          <w:lang w:val="en-US" w:eastAsia="zh-CN"/>
        </w:rPr>
        <w:t>业务</w:t>
      </w:r>
      <w:r>
        <w:rPr>
          <w:rFonts w:hint="eastAsia" w:ascii="仿宋_GB2312" w:hAnsi="仿宋" w:eastAsia="仿宋_GB2312"/>
          <w:b w:val="0"/>
          <w:bCs w:val="0"/>
          <w:sz w:val="34"/>
          <w:szCs w:val="34"/>
          <w:highlight w:val="none"/>
        </w:rPr>
        <w:t>专家型人才培养力度</w:t>
      </w:r>
      <w:r>
        <w:rPr>
          <w:rFonts w:hint="eastAsia" w:ascii="仿宋_GB2312" w:hAnsi="仿宋" w:eastAsia="仿宋_GB2312"/>
          <w:b w:val="0"/>
          <w:bCs w:val="0"/>
          <w:sz w:val="34"/>
          <w:szCs w:val="34"/>
          <w:highlight w:val="none"/>
          <w:lang w:val="en-US" w:eastAsia="zh-CN"/>
        </w:rPr>
        <w:t>仍</w:t>
      </w:r>
      <w:r>
        <w:rPr>
          <w:rFonts w:hint="eastAsia" w:ascii="仿宋_GB2312" w:hAnsi="仿宋" w:eastAsia="仿宋_GB2312"/>
          <w:b w:val="0"/>
          <w:bCs w:val="0"/>
          <w:sz w:val="34"/>
          <w:szCs w:val="34"/>
          <w:highlight w:val="none"/>
        </w:rPr>
        <w:t>需进一步加大。</w:t>
      </w:r>
    </w:p>
    <w:p w14:paraId="4E501319">
      <w:pPr>
        <w:keepNext w:val="0"/>
        <w:keepLines w:val="0"/>
        <w:pageBreakBefore w:val="0"/>
        <w:widowControl w:val="0"/>
        <w:kinsoku/>
        <w:wordWrap/>
        <w:overflowPunct/>
        <w:topLinePunct w:val="0"/>
        <w:autoSpaceDE/>
        <w:autoSpaceDN/>
        <w:bidi w:val="0"/>
        <w:adjustRightInd/>
        <w:snapToGrid/>
        <w:spacing w:line="322" w:lineRule="auto"/>
        <w:jc w:val="center"/>
        <w:textAlignment w:val="auto"/>
        <w:rPr>
          <w:rFonts w:ascii="仿宋_GB2312" w:hAnsi="仿宋" w:eastAsia="仿宋_GB2312"/>
          <w:b w:val="0"/>
          <w:bCs w:val="0"/>
          <w:sz w:val="34"/>
          <w:szCs w:val="34"/>
          <w:highlight w:val="none"/>
        </w:rPr>
      </w:pPr>
      <w:r>
        <w:rPr>
          <w:rFonts w:hint="eastAsia" w:ascii="黑体" w:hAnsi="黑体" w:eastAsia="黑体" w:cs="黑体"/>
          <w:b w:val="0"/>
          <w:bCs w:val="0"/>
          <w:sz w:val="34"/>
          <w:szCs w:val="34"/>
          <w:highlight w:val="none"/>
        </w:rPr>
        <w:t>202</w:t>
      </w:r>
      <w:r>
        <w:rPr>
          <w:rFonts w:hint="eastAsia" w:ascii="黑体" w:hAnsi="黑体" w:eastAsia="黑体" w:cs="黑体"/>
          <w:b w:val="0"/>
          <w:bCs w:val="0"/>
          <w:sz w:val="34"/>
          <w:szCs w:val="34"/>
          <w:highlight w:val="none"/>
          <w:lang w:val="en-US" w:eastAsia="zh-CN"/>
        </w:rPr>
        <w:t>6</w:t>
      </w:r>
      <w:r>
        <w:rPr>
          <w:rFonts w:hint="eastAsia" w:ascii="黑体" w:hAnsi="黑体" w:eastAsia="黑体" w:cs="黑体"/>
          <w:b w:val="0"/>
          <w:bCs w:val="0"/>
          <w:sz w:val="34"/>
          <w:szCs w:val="34"/>
          <w:highlight w:val="none"/>
        </w:rPr>
        <w:t>年工作安排</w:t>
      </w:r>
    </w:p>
    <w:p w14:paraId="0FEE1649">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highlight w:val="none"/>
          <w:lang w:val="en-US" w:eastAsia="zh-CN"/>
        </w:rPr>
      </w:pPr>
      <w:r>
        <w:rPr>
          <w:rFonts w:hint="eastAsia" w:ascii="仿宋_GB2312" w:hAnsi="仿宋" w:eastAsia="仿宋_GB2312"/>
          <w:b w:val="0"/>
          <w:bCs w:val="0"/>
          <w:sz w:val="34"/>
          <w:szCs w:val="34"/>
          <w:highlight w:val="none"/>
          <w:lang w:val="en-US" w:eastAsia="zh-CN"/>
        </w:rPr>
        <w:t>各位代表，在新的一年里，区检察院将坚持以习近平新时代中国特色社会主义思想为指导，全面落实上级决策部署，积极履行法律监督职能，为奋力谱写中国式现代化大洼篇章提供坚强法治保障。</w:t>
      </w:r>
    </w:p>
    <w:p w14:paraId="36721B1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lang w:val="en-US" w:eastAsia="zh-CN"/>
        </w:rPr>
        <w:t>一、以高质量党建筑牢思想根基，在真抓实干中践行为民初心</w:t>
      </w:r>
    </w:p>
    <w:p w14:paraId="0E436E4C">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sz w:val="34"/>
          <w:szCs w:val="34"/>
          <w:highlight w:val="none"/>
          <w:lang w:val="en-US" w:eastAsia="zh-CN"/>
        </w:rPr>
      </w:pPr>
      <w:r>
        <w:rPr>
          <w:rFonts w:hint="eastAsia" w:ascii="仿宋_GB2312" w:hAnsi="仿宋_GB2312" w:eastAsia="仿宋_GB2312" w:cs="仿宋_GB2312"/>
          <w:sz w:val="34"/>
          <w:szCs w:val="34"/>
          <w:highlight w:val="none"/>
          <w:lang w:val="en-US" w:eastAsia="zh-CN"/>
        </w:rPr>
        <w:t>始终坚持党对检察工作的绝对领导，毫不动摇加强党的政治建设，旗帜鲜明走中国特色社会主义法治道路。紧紧围绕大洼工作大局，找准找足服务保障地方发展的切入点，把讲政治落实到检察履职、法律监督和司法办案全过程各环节，以高质效检察履职服务保障区域经济社会高质量发展。</w:t>
      </w:r>
    </w:p>
    <w:p w14:paraId="6D1FF4E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lang w:val="en-US" w:eastAsia="zh-CN"/>
        </w:rPr>
        <w:t>二、以高标准服务地方发展大局，在护航发展中守护民生福祉</w:t>
      </w:r>
    </w:p>
    <w:p w14:paraId="7C70C024">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依法严惩影响社会稳定和人民安宁的各类犯罪，常态化开展扫黑除恶斗争。推进“检润民心”检察工作室规范化建设，扎实办好群众身边“小案”，不断增进改善民生福祉。持续打造“心禾护益”特色检察品牌，助力建设环境优美、宜居宜游的生态大洼。</w:t>
      </w:r>
    </w:p>
    <w:p w14:paraId="3946D55A">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lang w:val="en-US" w:eastAsia="zh-CN"/>
        </w:rPr>
        <w:t>三、以高质效监督守护公平正义，在履职尽责中护卫社会安宁</w:t>
      </w:r>
    </w:p>
    <w:p w14:paraId="7FFC8C0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牢固树立“高质效办好每一个案件”价值导向，一体抓实“三个管理”，持续推进数字强检工作战略，以数字检察赋能法律监督提质增效。聚焦环渤海生态环境建设，深化公益诉讼检察专项治理。积极开展违规异地执法和趋利性执法司法专项监督，依法平等保护各类市场主体。</w:t>
      </w:r>
    </w:p>
    <w:p w14:paraId="6E7F580F">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黑体" w:hAnsi="黑体" w:eastAsia="黑体" w:cs="黑体"/>
          <w:b w:val="0"/>
          <w:bCs w:val="0"/>
          <w:sz w:val="34"/>
          <w:szCs w:val="34"/>
          <w:highlight w:val="none"/>
          <w:lang w:val="en-US" w:eastAsia="zh-CN"/>
        </w:rPr>
      </w:pPr>
      <w:r>
        <w:rPr>
          <w:rFonts w:hint="eastAsia" w:ascii="黑体" w:hAnsi="黑体" w:eastAsia="黑体" w:cs="黑体"/>
          <w:b w:val="0"/>
          <w:bCs w:val="0"/>
          <w:sz w:val="34"/>
          <w:szCs w:val="34"/>
          <w:highlight w:val="none"/>
          <w:lang w:val="en-US" w:eastAsia="zh-CN"/>
        </w:rPr>
        <w:t>四、以高要求锻造过硬检察队伍，在使命践行中熔铸忠诚检魂</w:t>
      </w:r>
    </w:p>
    <w:p w14:paraId="5F62D40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hAnsi="仿宋" w:eastAsia="仿宋_GB2312"/>
          <w:b w:val="0"/>
          <w:bCs w:val="0"/>
          <w:sz w:val="34"/>
          <w:szCs w:val="34"/>
          <w:highlight w:val="none"/>
        </w:rPr>
      </w:pPr>
      <w:r>
        <w:rPr>
          <w:rFonts w:hint="eastAsia" w:ascii="仿宋_GB2312" w:hAnsi="仿宋" w:eastAsia="仿宋_GB2312"/>
          <w:b w:val="0"/>
          <w:bCs w:val="0"/>
          <w:sz w:val="34"/>
          <w:szCs w:val="34"/>
          <w:highlight w:val="none"/>
        </w:rPr>
        <w:t>坚持全面从严管党治检，持续加强纪律作风建设，深入开展廉洁教育。深入实施“党建强检”系统工程，打造知名检察品牌，以党建引领检察工作高质量发展。深化推进人才强检，多措并举实现干警素能提升。</w:t>
      </w:r>
      <w:r>
        <w:rPr>
          <w:rFonts w:hint="eastAsia" w:ascii="仿宋_GB2312" w:hAnsi="仿宋" w:eastAsia="仿宋_GB2312"/>
          <w:b w:val="0"/>
          <w:bCs w:val="0"/>
          <w:sz w:val="34"/>
          <w:szCs w:val="34"/>
          <w:highlight w:val="none"/>
          <w:lang w:val="en-US" w:eastAsia="zh-CN"/>
        </w:rPr>
        <w:t>全面优化检察管理</w:t>
      </w:r>
      <w:r>
        <w:rPr>
          <w:rFonts w:hint="eastAsia" w:ascii="仿宋_GB2312" w:hAnsi="仿宋" w:eastAsia="仿宋_GB2312"/>
          <w:b w:val="0"/>
          <w:bCs w:val="0"/>
          <w:sz w:val="34"/>
          <w:szCs w:val="34"/>
          <w:highlight w:val="none"/>
        </w:rPr>
        <w:t>，以高水平的管理推动办案质效高水平提升。</w:t>
      </w:r>
    </w:p>
    <w:p w14:paraId="4396E17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hAnsi="仿宋" w:eastAsia="仿宋_GB2312"/>
          <w:b w:val="0"/>
          <w:bCs w:val="0"/>
          <w:sz w:val="34"/>
          <w:szCs w:val="34"/>
          <w:highlight w:val="none"/>
          <w:lang w:val="en-US" w:eastAsia="zh-CN"/>
        </w:rPr>
      </w:pPr>
      <w:r>
        <w:rPr>
          <w:rFonts w:hint="eastAsia" w:ascii="仿宋_GB2312" w:hAnsi="仿宋" w:eastAsia="仿宋_GB2312"/>
          <w:b w:val="0"/>
          <w:bCs w:val="0"/>
          <w:sz w:val="34"/>
          <w:szCs w:val="34"/>
          <w:highlight w:val="none"/>
          <w:lang w:val="en-US" w:eastAsia="zh-CN"/>
        </w:rPr>
        <w:t>各位代表，守初心勇担时代使命，凭奋进谱写辉煌篇章，站在新的历史起点上，区检察院将认真落实本次大会决议，以“实”为要，“干”字当先，全面履行法律监督职能，书写人民群众满意检察答卷，为谱写中国式现代化建设大洼篇章贡献检察力量！</w:t>
      </w:r>
    </w:p>
    <w:p w14:paraId="4056BA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left"/>
        <w:textAlignment w:val="auto"/>
        <w:rPr>
          <w:rFonts w:hint="eastAsia" w:ascii="宋体" w:hAnsi="宋体" w:cs="宋体"/>
          <w:i w:val="0"/>
          <w:iCs w:val="0"/>
          <w:caps w:val="0"/>
          <w:color w:val="333333"/>
          <w:spacing w:val="0"/>
          <w:sz w:val="30"/>
          <w:szCs w:val="30"/>
          <w:shd w:val="clear" w:fill="FFFFFF"/>
          <w:lang w:val="en-US" w:eastAsia="zh-CN"/>
        </w:rPr>
      </w:pPr>
    </w:p>
    <w:p w14:paraId="79473D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left"/>
        <w:textAlignment w:val="auto"/>
        <w:rPr>
          <w:rFonts w:hint="eastAsia" w:ascii="宋体" w:hAnsi="宋体" w:cs="宋体"/>
          <w:i w:val="0"/>
          <w:iCs w:val="0"/>
          <w:caps w:val="0"/>
          <w:color w:val="333333"/>
          <w:spacing w:val="0"/>
          <w:sz w:val="30"/>
          <w:szCs w:val="30"/>
          <w:shd w:val="clear" w:fill="FFFFFF"/>
          <w:lang w:val="en-US" w:eastAsia="zh-CN"/>
        </w:rPr>
      </w:pPr>
    </w:p>
    <w:p w14:paraId="3526E6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left"/>
        <w:textAlignment w:val="auto"/>
        <w:rPr>
          <w:rFonts w:hint="eastAsia" w:ascii="宋体" w:hAnsi="宋体" w:cs="宋体"/>
          <w:i w:val="0"/>
          <w:iCs w:val="0"/>
          <w:caps w:val="0"/>
          <w:color w:val="333333"/>
          <w:spacing w:val="0"/>
          <w:sz w:val="30"/>
          <w:szCs w:val="30"/>
          <w:shd w:val="clear" w:fill="FFFFFF"/>
          <w:lang w:val="en-US" w:eastAsia="zh-CN"/>
        </w:rPr>
      </w:pPr>
    </w:p>
    <w:p w14:paraId="628761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left"/>
        <w:textAlignment w:val="auto"/>
        <w:rPr>
          <w:rFonts w:hint="eastAsia" w:ascii="宋体" w:hAnsi="宋体" w:cs="宋体"/>
          <w:i w:val="0"/>
          <w:iCs w:val="0"/>
          <w:caps w:val="0"/>
          <w:color w:val="333333"/>
          <w:spacing w:val="0"/>
          <w:sz w:val="30"/>
          <w:szCs w:val="30"/>
          <w:shd w:val="clear" w:fill="FFFFFF"/>
          <w:lang w:val="en-US" w:eastAsia="zh-CN"/>
        </w:rPr>
      </w:pPr>
    </w:p>
    <w:p w14:paraId="33F6C0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left"/>
        <w:textAlignment w:val="auto"/>
        <w:rPr>
          <w:rFonts w:hint="eastAsia" w:ascii="宋体" w:hAnsi="宋体" w:eastAsia="宋体" w:cs="宋体"/>
          <w:i w:val="0"/>
          <w:iCs w:val="0"/>
          <w:caps w:val="0"/>
          <w:color w:val="333333"/>
          <w:spacing w:val="0"/>
          <w:sz w:val="30"/>
          <w:szCs w:val="30"/>
          <w:shd w:val="clear" w:fill="FFFFFF"/>
        </w:rPr>
      </w:pPr>
      <w:r>
        <w:rPr>
          <w:rFonts w:hint="eastAsia" w:ascii="宋体" w:hAnsi="宋体" w:cs="宋体"/>
          <w:i w:val="0"/>
          <w:iCs w:val="0"/>
          <w:caps w:val="0"/>
          <w:color w:val="333333"/>
          <w:spacing w:val="0"/>
          <w:sz w:val="30"/>
          <w:szCs w:val="30"/>
          <w:shd w:val="clear" w:fill="FFFFFF"/>
          <w:lang w:val="en-US" w:eastAsia="zh-CN"/>
        </w:rPr>
        <w:t>附件</w:t>
      </w:r>
      <w:r>
        <w:rPr>
          <w:rFonts w:hint="eastAsia" w:ascii="宋体" w:hAnsi="宋体" w:eastAsia="宋体" w:cs="宋体"/>
          <w:i w:val="0"/>
          <w:iCs w:val="0"/>
          <w:caps w:val="0"/>
          <w:color w:val="333333"/>
          <w:spacing w:val="0"/>
          <w:sz w:val="30"/>
          <w:szCs w:val="30"/>
          <w:shd w:val="clear" w:fill="FFFFFF"/>
        </w:rPr>
        <w:t>：</w:t>
      </w:r>
    </w:p>
    <w:p w14:paraId="5B5AFD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64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检察工作报告相关说明</w:t>
      </w:r>
    </w:p>
    <w:p w14:paraId="4D703A8C">
      <w:pPr>
        <w:rPr>
          <w:rFonts w:hint="eastAsia" w:ascii="仿宋_GB2312" w:eastAsia="仿宋_GB2312"/>
          <w:sz w:val="34"/>
          <w:szCs w:val="34"/>
          <w:highlight w:val="none"/>
          <w:lang w:val="en-US" w:eastAsia="zh-CN"/>
        </w:rPr>
      </w:pPr>
    </w:p>
    <w:p w14:paraId="79945F83">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r>
        <w:rPr>
          <w:rFonts w:hint="eastAsia" w:ascii="仿宋_GB2312" w:eastAsia="仿宋_GB2312"/>
          <w:sz w:val="34"/>
          <w:szCs w:val="34"/>
          <w:highlight w:val="none"/>
          <w:lang w:val="en-US" w:eastAsia="zh-CN"/>
        </w:rPr>
        <w:t>【1】违规异地执法和趋利性执法司法专项监督：趋利性执法司法，是指以执法司法办案为名，谋取经济利益、违规罚没财物等违法行为。具体表现为违规异地执法抓捕，肆意查封、冻结甚至划转外地企业和个人财产；将正常的合同纠纷认定为合同诈骗，把企业正当融资认定为非法集资，以刑事手段干预经济纠纷；为获取更多罚没收入或其他经济利益，随意扩大管辖权等行为。</w:t>
      </w:r>
    </w:p>
    <w:p w14:paraId="4E39E098">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default" w:ascii="仿宋_GB2312" w:eastAsia="仿宋_GB2312"/>
          <w:sz w:val="34"/>
          <w:szCs w:val="34"/>
          <w:highlight w:val="none"/>
          <w:lang w:val="en-US" w:eastAsia="zh-CN"/>
        </w:rPr>
      </w:pPr>
      <w:r>
        <w:rPr>
          <w:rFonts w:hint="eastAsia" w:ascii="仿宋_GB2312" w:eastAsia="仿宋_GB2312"/>
          <w:sz w:val="34"/>
          <w:szCs w:val="34"/>
          <w:highlight w:val="none"/>
          <w:lang w:val="en-US" w:eastAsia="zh-CN"/>
        </w:rPr>
        <w:t>最高人民检察院为深入贯彻落实习近平总书记重要指示精神和党中央决策部署，制定《检察机关开展“违规异地执法和趋利性执法司法专项监督”工作方案》，并于2025年3月26日召开会议对全国检察机关开展违规异地执法和趋利性执法司法专项监督进行部署，将该项工作作为全国检察机关服务经济社会高质量发展的一项年度重点任务。</w:t>
      </w:r>
    </w:p>
    <w:p w14:paraId="47ED4C9D">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r>
        <w:rPr>
          <w:rFonts w:hint="eastAsia" w:ascii="仿宋_GB2312" w:eastAsia="仿宋_GB2312"/>
          <w:sz w:val="34"/>
          <w:szCs w:val="34"/>
          <w:highlight w:val="none"/>
          <w:lang w:val="en-US" w:eastAsia="zh-CN"/>
        </w:rPr>
        <w:t>【2】行刑反向衔接：指检察机关对决定不起诉的案件，经审查需要给予被不起诉人行政处罚的，提出检察意见并移送行政主管机关跟踪督促。</w:t>
      </w:r>
    </w:p>
    <w:p w14:paraId="0413278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4CF387D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241C0EAA">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5BA4548E">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0C14F5B4">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22D4C882">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37DB1855">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3CFAB104">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7E247A0B">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63451699">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02094701">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0B7CA34D">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5937833F">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515CC26C">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4F44EDC1">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40CFBD1A">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1C54DC7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3D7DE877">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0123937C">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p w14:paraId="107E3A61">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tbl>
      <w:tblPr>
        <w:tblStyle w:val="8"/>
        <w:tblpPr w:leftFromText="180" w:rightFromText="180" w:vertAnchor="text" w:horzAnchor="page" w:tblpX="1675" w:tblpY="877"/>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87"/>
      </w:tblGrid>
      <w:tr w14:paraId="75A987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787" w:type="dxa"/>
            <w:noWrap w:val="0"/>
            <w:vAlign w:val="center"/>
          </w:tcPr>
          <w:p w14:paraId="7738E261">
            <w:pPr>
              <w:keepNext w:val="0"/>
              <w:keepLines w:val="0"/>
              <w:pageBreakBefore w:val="0"/>
              <w:widowControl w:val="0"/>
              <w:kinsoku/>
              <w:wordWrap/>
              <w:overflowPunct/>
              <w:topLinePunct w:val="0"/>
              <w:autoSpaceDE/>
              <w:autoSpaceDN/>
              <w:bidi w:val="0"/>
              <w:adjustRightInd/>
              <w:textAlignment w:val="auto"/>
              <w:rPr>
                <w:rFonts w:ascii="仿宋" w:hAnsi="仿宋" w:eastAsia="仿宋" w:cs="仿宋"/>
                <w:sz w:val="30"/>
                <w:szCs w:val="30"/>
                <w:highlight w:val="none"/>
              </w:rPr>
            </w:pPr>
            <w:r>
              <w:rPr>
                <w:rFonts w:hint="eastAsia" w:ascii="仿宋" w:hAnsi="仿宋" w:eastAsia="仿宋" w:cs="仿宋"/>
                <w:sz w:val="28"/>
                <w:szCs w:val="28"/>
                <w:highlight w:val="none"/>
              </w:rPr>
              <w:t>盘锦市大洼区</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rPr>
              <w:t>届人大</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rPr>
              <w:t xml:space="preserve">次会议秘书处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XX</w:t>
            </w:r>
            <w:r>
              <w:rPr>
                <w:rFonts w:hint="eastAsia" w:ascii="仿宋" w:hAnsi="仿宋" w:eastAsia="仿宋" w:cs="仿宋"/>
                <w:sz w:val="28"/>
                <w:szCs w:val="28"/>
                <w:highlight w:val="none"/>
              </w:rPr>
              <w:t>日印</w:t>
            </w:r>
          </w:p>
        </w:tc>
      </w:tr>
    </w:tbl>
    <w:p w14:paraId="54F8948B">
      <w:pPr>
        <w:keepNext w:val="0"/>
        <w:keepLines w:val="0"/>
        <w:pageBreakBefore w:val="0"/>
        <w:widowControl w:val="0"/>
        <w:kinsoku/>
        <w:wordWrap/>
        <w:overflowPunct/>
        <w:topLinePunct w:val="0"/>
        <w:autoSpaceDE/>
        <w:autoSpaceDN/>
        <w:bidi w:val="0"/>
        <w:adjustRightInd/>
        <w:snapToGrid/>
        <w:spacing w:line="322" w:lineRule="auto"/>
        <w:ind w:firstLine="680" w:firstLineChars="200"/>
        <w:textAlignment w:val="auto"/>
        <w:rPr>
          <w:rFonts w:hint="eastAsia" w:ascii="仿宋_GB2312" w:eastAsia="仿宋_GB2312"/>
          <w:sz w:val="34"/>
          <w:szCs w:val="34"/>
          <w:highlight w:val="none"/>
          <w:lang w:val="en-US" w:eastAsia="zh-CN"/>
        </w:rPr>
      </w:pPr>
    </w:p>
    <w:sectPr>
      <w:footerReference r:id="rId3" w:type="default"/>
      <w:pgSz w:w="11906" w:h="16838"/>
      <w:pgMar w:top="2154"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36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C8CB0">
                          <w:pPr>
                            <w:pStyle w:val="5"/>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429C8CB0">
                    <w:pPr>
                      <w:pStyle w:val="5"/>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M2Q0NDZhNGZiZDU2ZjZhMzg5MjA1NDBlYzc1ZWIifQ=="/>
    <w:docVar w:name="KSO_WPS_MARK_KEY" w:val="021d4b28-034d-4e37-9349-c32f0572704d"/>
  </w:docVars>
  <w:rsids>
    <w:rsidRoot w:val="003D392F"/>
    <w:rsid w:val="00043523"/>
    <w:rsid w:val="0006420C"/>
    <w:rsid w:val="00077689"/>
    <w:rsid w:val="000E4022"/>
    <w:rsid w:val="000F1ACD"/>
    <w:rsid w:val="0015574A"/>
    <w:rsid w:val="001A15D0"/>
    <w:rsid w:val="001D0221"/>
    <w:rsid w:val="0021193D"/>
    <w:rsid w:val="00243666"/>
    <w:rsid w:val="002A153E"/>
    <w:rsid w:val="003C72BC"/>
    <w:rsid w:val="003D2A67"/>
    <w:rsid w:val="003D392F"/>
    <w:rsid w:val="003E02AC"/>
    <w:rsid w:val="00424176"/>
    <w:rsid w:val="0044437F"/>
    <w:rsid w:val="004A1AAB"/>
    <w:rsid w:val="004B205B"/>
    <w:rsid w:val="004B5528"/>
    <w:rsid w:val="0050183D"/>
    <w:rsid w:val="00541197"/>
    <w:rsid w:val="00565C80"/>
    <w:rsid w:val="005D1070"/>
    <w:rsid w:val="006771AC"/>
    <w:rsid w:val="006D31B5"/>
    <w:rsid w:val="007548CA"/>
    <w:rsid w:val="00754E20"/>
    <w:rsid w:val="007C6119"/>
    <w:rsid w:val="00907158"/>
    <w:rsid w:val="00911E2B"/>
    <w:rsid w:val="009861EF"/>
    <w:rsid w:val="00995DFB"/>
    <w:rsid w:val="00A74174"/>
    <w:rsid w:val="00AA6917"/>
    <w:rsid w:val="00AC37D2"/>
    <w:rsid w:val="00B40FCE"/>
    <w:rsid w:val="00BA3283"/>
    <w:rsid w:val="00BE34FB"/>
    <w:rsid w:val="00BF1EDE"/>
    <w:rsid w:val="00C17229"/>
    <w:rsid w:val="00CE7B9C"/>
    <w:rsid w:val="00D0727B"/>
    <w:rsid w:val="00D32383"/>
    <w:rsid w:val="00DE4AD3"/>
    <w:rsid w:val="00E04954"/>
    <w:rsid w:val="00E45940"/>
    <w:rsid w:val="00E66426"/>
    <w:rsid w:val="00EB1A99"/>
    <w:rsid w:val="00EB3C20"/>
    <w:rsid w:val="00F026B0"/>
    <w:rsid w:val="00F41592"/>
    <w:rsid w:val="00F71388"/>
    <w:rsid w:val="00FC4FD4"/>
    <w:rsid w:val="00FD4340"/>
    <w:rsid w:val="01BE4CB2"/>
    <w:rsid w:val="02380698"/>
    <w:rsid w:val="02634A45"/>
    <w:rsid w:val="029B0379"/>
    <w:rsid w:val="02DA4653"/>
    <w:rsid w:val="033C3B28"/>
    <w:rsid w:val="034B4C40"/>
    <w:rsid w:val="0430304E"/>
    <w:rsid w:val="043E2986"/>
    <w:rsid w:val="04443C2F"/>
    <w:rsid w:val="045056B0"/>
    <w:rsid w:val="046A7595"/>
    <w:rsid w:val="04BF5D5A"/>
    <w:rsid w:val="05132DFF"/>
    <w:rsid w:val="056534D4"/>
    <w:rsid w:val="05A91BD8"/>
    <w:rsid w:val="05B97E7B"/>
    <w:rsid w:val="05C228EF"/>
    <w:rsid w:val="05D651A9"/>
    <w:rsid w:val="065336FB"/>
    <w:rsid w:val="066721AE"/>
    <w:rsid w:val="07194515"/>
    <w:rsid w:val="075B6B3F"/>
    <w:rsid w:val="076A43CD"/>
    <w:rsid w:val="079C5BD9"/>
    <w:rsid w:val="085417B6"/>
    <w:rsid w:val="08C711B3"/>
    <w:rsid w:val="091F1F1D"/>
    <w:rsid w:val="098428DE"/>
    <w:rsid w:val="0AB55A9D"/>
    <w:rsid w:val="0AED0E04"/>
    <w:rsid w:val="0B3F2115"/>
    <w:rsid w:val="0B9B5189"/>
    <w:rsid w:val="0BBF43C3"/>
    <w:rsid w:val="0BF11A57"/>
    <w:rsid w:val="0BF202F5"/>
    <w:rsid w:val="0C127A03"/>
    <w:rsid w:val="0C712F64"/>
    <w:rsid w:val="0D7A22EF"/>
    <w:rsid w:val="0DAC357C"/>
    <w:rsid w:val="0DF05D70"/>
    <w:rsid w:val="0E7336A5"/>
    <w:rsid w:val="0E7C659C"/>
    <w:rsid w:val="0E8759DB"/>
    <w:rsid w:val="0EAF53CC"/>
    <w:rsid w:val="0F842AB3"/>
    <w:rsid w:val="0FB618CB"/>
    <w:rsid w:val="101E7604"/>
    <w:rsid w:val="10502761"/>
    <w:rsid w:val="10CA3604"/>
    <w:rsid w:val="113373E5"/>
    <w:rsid w:val="11D2230D"/>
    <w:rsid w:val="11E06CC9"/>
    <w:rsid w:val="11F174BD"/>
    <w:rsid w:val="12E52789"/>
    <w:rsid w:val="14190D54"/>
    <w:rsid w:val="14535372"/>
    <w:rsid w:val="1454642A"/>
    <w:rsid w:val="145C76AA"/>
    <w:rsid w:val="14C519D6"/>
    <w:rsid w:val="151415D1"/>
    <w:rsid w:val="15241A04"/>
    <w:rsid w:val="15851FFD"/>
    <w:rsid w:val="15966539"/>
    <w:rsid w:val="15AA4A70"/>
    <w:rsid w:val="15BF59FE"/>
    <w:rsid w:val="15FC6655"/>
    <w:rsid w:val="16134180"/>
    <w:rsid w:val="163730FE"/>
    <w:rsid w:val="16563754"/>
    <w:rsid w:val="16F46A59"/>
    <w:rsid w:val="17970A9A"/>
    <w:rsid w:val="179A64E7"/>
    <w:rsid w:val="17B60530"/>
    <w:rsid w:val="18BF4250"/>
    <w:rsid w:val="18D426F0"/>
    <w:rsid w:val="18FA2044"/>
    <w:rsid w:val="18FC4596"/>
    <w:rsid w:val="19811C7E"/>
    <w:rsid w:val="19E251C9"/>
    <w:rsid w:val="19ED0C30"/>
    <w:rsid w:val="19FA389C"/>
    <w:rsid w:val="1A25291C"/>
    <w:rsid w:val="1A7D5B75"/>
    <w:rsid w:val="1A8973DA"/>
    <w:rsid w:val="1BE24E0B"/>
    <w:rsid w:val="1C1E4CAF"/>
    <w:rsid w:val="1C922A75"/>
    <w:rsid w:val="1CB74008"/>
    <w:rsid w:val="1CDE637F"/>
    <w:rsid w:val="1D194CD3"/>
    <w:rsid w:val="1D386721"/>
    <w:rsid w:val="1D741D7A"/>
    <w:rsid w:val="1D750002"/>
    <w:rsid w:val="1D754862"/>
    <w:rsid w:val="1D7D09BB"/>
    <w:rsid w:val="1DB139D6"/>
    <w:rsid w:val="1DBF2C00"/>
    <w:rsid w:val="1DE14759"/>
    <w:rsid w:val="1EB3711B"/>
    <w:rsid w:val="1F652F81"/>
    <w:rsid w:val="1FBC7140"/>
    <w:rsid w:val="208F2D91"/>
    <w:rsid w:val="20BA432A"/>
    <w:rsid w:val="21491BA4"/>
    <w:rsid w:val="21D0264D"/>
    <w:rsid w:val="21D86489"/>
    <w:rsid w:val="222F5818"/>
    <w:rsid w:val="22D7799D"/>
    <w:rsid w:val="23271E28"/>
    <w:rsid w:val="23C43E29"/>
    <w:rsid w:val="23EF1315"/>
    <w:rsid w:val="23EF4E1F"/>
    <w:rsid w:val="24377DF9"/>
    <w:rsid w:val="244959DC"/>
    <w:rsid w:val="24F56E7D"/>
    <w:rsid w:val="25036248"/>
    <w:rsid w:val="2527505B"/>
    <w:rsid w:val="25A26176"/>
    <w:rsid w:val="25AF471A"/>
    <w:rsid w:val="25EC539F"/>
    <w:rsid w:val="262D4484"/>
    <w:rsid w:val="26605DEF"/>
    <w:rsid w:val="2681791E"/>
    <w:rsid w:val="26952DF8"/>
    <w:rsid w:val="26B05859"/>
    <w:rsid w:val="26F37A62"/>
    <w:rsid w:val="272B6CED"/>
    <w:rsid w:val="278B00CC"/>
    <w:rsid w:val="2790389A"/>
    <w:rsid w:val="27933B14"/>
    <w:rsid w:val="27996AA0"/>
    <w:rsid w:val="27ED7278"/>
    <w:rsid w:val="282028E2"/>
    <w:rsid w:val="28732997"/>
    <w:rsid w:val="28B121D1"/>
    <w:rsid w:val="28E63D85"/>
    <w:rsid w:val="29451F54"/>
    <w:rsid w:val="295B469F"/>
    <w:rsid w:val="295E5843"/>
    <w:rsid w:val="29903F65"/>
    <w:rsid w:val="29AA01EA"/>
    <w:rsid w:val="29E56D4B"/>
    <w:rsid w:val="2AA739A9"/>
    <w:rsid w:val="2AB37242"/>
    <w:rsid w:val="2AC47380"/>
    <w:rsid w:val="2B590E2A"/>
    <w:rsid w:val="2BB10A2C"/>
    <w:rsid w:val="2C5511E5"/>
    <w:rsid w:val="2CB50114"/>
    <w:rsid w:val="2CC86FAF"/>
    <w:rsid w:val="2CE42372"/>
    <w:rsid w:val="2D142FF7"/>
    <w:rsid w:val="2D6973AD"/>
    <w:rsid w:val="2E16582B"/>
    <w:rsid w:val="2EA60EA8"/>
    <w:rsid w:val="2EB52402"/>
    <w:rsid w:val="2EC954B0"/>
    <w:rsid w:val="2EED7E27"/>
    <w:rsid w:val="2EFD7DC5"/>
    <w:rsid w:val="2F3344D9"/>
    <w:rsid w:val="2F5766CC"/>
    <w:rsid w:val="2FBD1134"/>
    <w:rsid w:val="3059458E"/>
    <w:rsid w:val="307B438D"/>
    <w:rsid w:val="30BB64CA"/>
    <w:rsid w:val="311E1400"/>
    <w:rsid w:val="315B0399"/>
    <w:rsid w:val="316C0738"/>
    <w:rsid w:val="319C66BA"/>
    <w:rsid w:val="31AB0518"/>
    <w:rsid w:val="31F944B8"/>
    <w:rsid w:val="324B71D5"/>
    <w:rsid w:val="32541A48"/>
    <w:rsid w:val="32D710AC"/>
    <w:rsid w:val="32D97C17"/>
    <w:rsid w:val="32F42530"/>
    <w:rsid w:val="3357181D"/>
    <w:rsid w:val="33DC12C5"/>
    <w:rsid w:val="340B4EF1"/>
    <w:rsid w:val="345D6EFA"/>
    <w:rsid w:val="34717A88"/>
    <w:rsid w:val="34FF014C"/>
    <w:rsid w:val="35365422"/>
    <w:rsid w:val="355F4D47"/>
    <w:rsid w:val="35611C20"/>
    <w:rsid w:val="356239D1"/>
    <w:rsid w:val="35625B7F"/>
    <w:rsid w:val="35E05C1E"/>
    <w:rsid w:val="36442384"/>
    <w:rsid w:val="36DA728E"/>
    <w:rsid w:val="37E13235"/>
    <w:rsid w:val="37F15381"/>
    <w:rsid w:val="388365F5"/>
    <w:rsid w:val="38AF32D4"/>
    <w:rsid w:val="38CA607D"/>
    <w:rsid w:val="390F2491"/>
    <w:rsid w:val="397435FB"/>
    <w:rsid w:val="39CA321F"/>
    <w:rsid w:val="3A3B5E13"/>
    <w:rsid w:val="3B08758C"/>
    <w:rsid w:val="3B5C0464"/>
    <w:rsid w:val="3BC56B89"/>
    <w:rsid w:val="3C294F12"/>
    <w:rsid w:val="3C7E4456"/>
    <w:rsid w:val="3CB5302A"/>
    <w:rsid w:val="3CB7557C"/>
    <w:rsid w:val="3CBF6699"/>
    <w:rsid w:val="3CEE6EEE"/>
    <w:rsid w:val="3CF56ED1"/>
    <w:rsid w:val="3D17645A"/>
    <w:rsid w:val="3D4E4623"/>
    <w:rsid w:val="3D647018"/>
    <w:rsid w:val="3DFD6C4B"/>
    <w:rsid w:val="3E166C6B"/>
    <w:rsid w:val="3E6F26B3"/>
    <w:rsid w:val="3EBE7E9D"/>
    <w:rsid w:val="3EED26FD"/>
    <w:rsid w:val="3F0514AD"/>
    <w:rsid w:val="3F441220"/>
    <w:rsid w:val="3FFD375E"/>
    <w:rsid w:val="40277081"/>
    <w:rsid w:val="40A27D6E"/>
    <w:rsid w:val="410924C1"/>
    <w:rsid w:val="41554904"/>
    <w:rsid w:val="41E3248F"/>
    <w:rsid w:val="41F71A96"/>
    <w:rsid w:val="42080F10"/>
    <w:rsid w:val="421B5DA0"/>
    <w:rsid w:val="422C70A8"/>
    <w:rsid w:val="423A60B6"/>
    <w:rsid w:val="431D2F9F"/>
    <w:rsid w:val="431E54E3"/>
    <w:rsid w:val="433539D6"/>
    <w:rsid w:val="433C7294"/>
    <w:rsid w:val="44042D09"/>
    <w:rsid w:val="44050BA5"/>
    <w:rsid w:val="441179B6"/>
    <w:rsid w:val="442073EE"/>
    <w:rsid w:val="445278CF"/>
    <w:rsid w:val="447A7B44"/>
    <w:rsid w:val="44C50FE3"/>
    <w:rsid w:val="44DA161E"/>
    <w:rsid w:val="45442C68"/>
    <w:rsid w:val="457C36B4"/>
    <w:rsid w:val="45F07CAF"/>
    <w:rsid w:val="46161DCD"/>
    <w:rsid w:val="462A3CCD"/>
    <w:rsid w:val="46590FEF"/>
    <w:rsid w:val="466D0167"/>
    <w:rsid w:val="467D7CCC"/>
    <w:rsid w:val="46D25840"/>
    <w:rsid w:val="46EB5A51"/>
    <w:rsid w:val="46F92614"/>
    <w:rsid w:val="46FA7E7B"/>
    <w:rsid w:val="4759319A"/>
    <w:rsid w:val="47BC6E42"/>
    <w:rsid w:val="47EF2794"/>
    <w:rsid w:val="47FB4028"/>
    <w:rsid w:val="480A1532"/>
    <w:rsid w:val="481B7A48"/>
    <w:rsid w:val="48286871"/>
    <w:rsid w:val="483C3A41"/>
    <w:rsid w:val="48B159F2"/>
    <w:rsid w:val="48D550E0"/>
    <w:rsid w:val="494A0E9B"/>
    <w:rsid w:val="49505A78"/>
    <w:rsid w:val="495F272B"/>
    <w:rsid w:val="496B7702"/>
    <w:rsid w:val="499D0A4E"/>
    <w:rsid w:val="4A380FEF"/>
    <w:rsid w:val="4AEB48D2"/>
    <w:rsid w:val="4AF74611"/>
    <w:rsid w:val="4B4F7028"/>
    <w:rsid w:val="4B627118"/>
    <w:rsid w:val="4B646607"/>
    <w:rsid w:val="4B747A79"/>
    <w:rsid w:val="4B900D44"/>
    <w:rsid w:val="4BCD41C9"/>
    <w:rsid w:val="4C0949E2"/>
    <w:rsid w:val="4CC87871"/>
    <w:rsid w:val="4CCB7EC1"/>
    <w:rsid w:val="4CFD7BF4"/>
    <w:rsid w:val="4D5132B3"/>
    <w:rsid w:val="4D7E3A16"/>
    <w:rsid w:val="4DDA71F5"/>
    <w:rsid w:val="4E134E35"/>
    <w:rsid w:val="4E19159C"/>
    <w:rsid w:val="4E523B5A"/>
    <w:rsid w:val="4E617AF8"/>
    <w:rsid w:val="4EAF14B9"/>
    <w:rsid w:val="4EB85C90"/>
    <w:rsid w:val="4EEC368B"/>
    <w:rsid w:val="4EFE25A7"/>
    <w:rsid w:val="4F284744"/>
    <w:rsid w:val="4F370AE4"/>
    <w:rsid w:val="4F7E204C"/>
    <w:rsid w:val="4FAF7C8A"/>
    <w:rsid w:val="4FCA739D"/>
    <w:rsid w:val="50205B81"/>
    <w:rsid w:val="503C2F88"/>
    <w:rsid w:val="50E3702D"/>
    <w:rsid w:val="51156DB0"/>
    <w:rsid w:val="515E677D"/>
    <w:rsid w:val="51722D70"/>
    <w:rsid w:val="5191084A"/>
    <w:rsid w:val="521227BB"/>
    <w:rsid w:val="522F04A1"/>
    <w:rsid w:val="523C298E"/>
    <w:rsid w:val="52A07238"/>
    <w:rsid w:val="52C41E13"/>
    <w:rsid w:val="52CE4E18"/>
    <w:rsid w:val="52D94ABD"/>
    <w:rsid w:val="52F87264"/>
    <w:rsid w:val="53230449"/>
    <w:rsid w:val="535F5E83"/>
    <w:rsid w:val="53E342C7"/>
    <w:rsid w:val="545F315D"/>
    <w:rsid w:val="54805557"/>
    <w:rsid w:val="54841D67"/>
    <w:rsid w:val="54A379AB"/>
    <w:rsid w:val="54F75CCB"/>
    <w:rsid w:val="553D01C3"/>
    <w:rsid w:val="55557A0A"/>
    <w:rsid w:val="55C77F83"/>
    <w:rsid w:val="56046822"/>
    <w:rsid w:val="5606196D"/>
    <w:rsid w:val="565C7A45"/>
    <w:rsid w:val="56BE78D2"/>
    <w:rsid w:val="57052FE6"/>
    <w:rsid w:val="575D3CB6"/>
    <w:rsid w:val="57E05870"/>
    <w:rsid w:val="58360037"/>
    <w:rsid w:val="585844FD"/>
    <w:rsid w:val="58C476C5"/>
    <w:rsid w:val="58D06745"/>
    <w:rsid w:val="59525F99"/>
    <w:rsid w:val="595B54F7"/>
    <w:rsid w:val="5968770F"/>
    <w:rsid w:val="59AE43B5"/>
    <w:rsid w:val="59EA0A73"/>
    <w:rsid w:val="5A27443F"/>
    <w:rsid w:val="5AAE2914"/>
    <w:rsid w:val="5B933296"/>
    <w:rsid w:val="5BB3756E"/>
    <w:rsid w:val="5C287D37"/>
    <w:rsid w:val="5C545D63"/>
    <w:rsid w:val="5CA72A6A"/>
    <w:rsid w:val="5CC3079A"/>
    <w:rsid w:val="5CCC6E28"/>
    <w:rsid w:val="5CD72F29"/>
    <w:rsid w:val="5CDD56CF"/>
    <w:rsid w:val="5CDE4BE2"/>
    <w:rsid w:val="5D6233DB"/>
    <w:rsid w:val="5D7A3A3A"/>
    <w:rsid w:val="5DC44329"/>
    <w:rsid w:val="5E2B2CD2"/>
    <w:rsid w:val="5E48773B"/>
    <w:rsid w:val="5E8576E4"/>
    <w:rsid w:val="5FAF02FD"/>
    <w:rsid w:val="5FD20B59"/>
    <w:rsid w:val="60116360"/>
    <w:rsid w:val="602632AF"/>
    <w:rsid w:val="603319A3"/>
    <w:rsid w:val="606C16A1"/>
    <w:rsid w:val="60700DCC"/>
    <w:rsid w:val="619D0199"/>
    <w:rsid w:val="61D56A41"/>
    <w:rsid w:val="61F8197F"/>
    <w:rsid w:val="6203658B"/>
    <w:rsid w:val="621A2FA3"/>
    <w:rsid w:val="621B3C8C"/>
    <w:rsid w:val="621F2920"/>
    <w:rsid w:val="62221679"/>
    <w:rsid w:val="622D7B96"/>
    <w:rsid w:val="626B75FF"/>
    <w:rsid w:val="62C01A19"/>
    <w:rsid w:val="62D8206B"/>
    <w:rsid w:val="631B49B6"/>
    <w:rsid w:val="63627355"/>
    <w:rsid w:val="637E1A26"/>
    <w:rsid w:val="640572C5"/>
    <w:rsid w:val="642C5748"/>
    <w:rsid w:val="64C07F9C"/>
    <w:rsid w:val="64D75FD1"/>
    <w:rsid w:val="64E406A7"/>
    <w:rsid w:val="657D6491"/>
    <w:rsid w:val="665E3681"/>
    <w:rsid w:val="66F24883"/>
    <w:rsid w:val="67135BE3"/>
    <w:rsid w:val="672C503C"/>
    <w:rsid w:val="673F1DBF"/>
    <w:rsid w:val="67A81679"/>
    <w:rsid w:val="67DF36BC"/>
    <w:rsid w:val="67EC19E9"/>
    <w:rsid w:val="680A04DE"/>
    <w:rsid w:val="68EA3E36"/>
    <w:rsid w:val="69473387"/>
    <w:rsid w:val="69696103"/>
    <w:rsid w:val="6A361BB8"/>
    <w:rsid w:val="6A3B689C"/>
    <w:rsid w:val="6B7C678C"/>
    <w:rsid w:val="6BAD286C"/>
    <w:rsid w:val="6C5D5C2E"/>
    <w:rsid w:val="6C8C105F"/>
    <w:rsid w:val="6C9F4A5E"/>
    <w:rsid w:val="6CC10EBE"/>
    <w:rsid w:val="6D3B117A"/>
    <w:rsid w:val="6DA9025A"/>
    <w:rsid w:val="6E37053C"/>
    <w:rsid w:val="6E7976FC"/>
    <w:rsid w:val="6E896EBF"/>
    <w:rsid w:val="6ED42673"/>
    <w:rsid w:val="6F0137E1"/>
    <w:rsid w:val="6F5F22BE"/>
    <w:rsid w:val="70F31340"/>
    <w:rsid w:val="710741ED"/>
    <w:rsid w:val="711677A3"/>
    <w:rsid w:val="713B7CE6"/>
    <w:rsid w:val="71ED1C76"/>
    <w:rsid w:val="72660113"/>
    <w:rsid w:val="72AE0E8D"/>
    <w:rsid w:val="72CA77FF"/>
    <w:rsid w:val="73882F77"/>
    <w:rsid w:val="73AB393A"/>
    <w:rsid w:val="73E2342C"/>
    <w:rsid w:val="73FD3B49"/>
    <w:rsid w:val="73FE597F"/>
    <w:rsid w:val="74043033"/>
    <w:rsid w:val="74441C55"/>
    <w:rsid w:val="745D73C8"/>
    <w:rsid w:val="747A7849"/>
    <w:rsid w:val="748C3F3E"/>
    <w:rsid w:val="74A31B26"/>
    <w:rsid w:val="75AD4207"/>
    <w:rsid w:val="75DE50CA"/>
    <w:rsid w:val="765522C7"/>
    <w:rsid w:val="766034F6"/>
    <w:rsid w:val="76A36FDD"/>
    <w:rsid w:val="76D60049"/>
    <w:rsid w:val="76DB1E0E"/>
    <w:rsid w:val="77157495"/>
    <w:rsid w:val="77380E17"/>
    <w:rsid w:val="77F155CF"/>
    <w:rsid w:val="78165F9B"/>
    <w:rsid w:val="78181E91"/>
    <w:rsid w:val="782236A8"/>
    <w:rsid w:val="78425A99"/>
    <w:rsid w:val="78953386"/>
    <w:rsid w:val="78D718AF"/>
    <w:rsid w:val="79D6455C"/>
    <w:rsid w:val="7A9E3B46"/>
    <w:rsid w:val="7AC878BC"/>
    <w:rsid w:val="7BB5335F"/>
    <w:rsid w:val="7BBF4887"/>
    <w:rsid w:val="7CB5533C"/>
    <w:rsid w:val="7CB60234"/>
    <w:rsid w:val="7CC940C8"/>
    <w:rsid w:val="7CE0261F"/>
    <w:rsid w:val="7D0C764A"/>
    <w:rsid w:val="7D4F15A2"/>
    <w:rsid w:val="7D517B48"/>
    <w:rsid w:val="7D985324"/>
    <w:rsid w:val="7DAC53D4"/>
    <w:rsid w:val="7DB8685E"/>
    <w:rsid w:val="7DE764EB"/>
    <w:rsid w:val="7DEF26E0"/>
    <w:rsid w:val="7DFE37AD"/>
    <w:rsid w:val="7E557951"/>
    <w:rsid w:val="7E926F37"/>
    <w:rsid w:val="7EEE5B1E"/>
    <w:rsid w:val="7F3428F3"/>
    <w:rsid w:val="7F797F3C"/>
    <w:rsid w:val="7F990663"/>
    <w:rsid w:val="7F9F6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jc w:val="center"/>
    </w:pPr>
    <w:rPr>
      <w:rFonts w:ascii="宋体"/>
      <w:b/>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5775</Words>
  <Characters>5884</Characters>
  <Lines>33</Lines>
  <Paragraphs>9</Paragraphs>
  <TotalTime>4961</TotalTime>
  <ScaleCrop>false</ScaleCrop>
  <LinksUpToDate>false</LinksUpToDate>
  <CharactersWithSpaces>5893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2024-12-13T07:22:00Z</dcterms:created>
  <dc:creator>User</dc:creator>
  <cp:lastModifiedBy>心若为城</cp:lastModifiedBy>
  <cp:lastPrinted>2025-12-29T07:14:00Z</cp:lastPrinted>
  <dcterms:modified xsi:type="dcterms:W3CDTF">2026-04-10T06:23:52Z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814F00190D634A86B5DCA5EFFA38A248_13</vt:lpwstr>
  </property>
  <property fmtid="{D5CDD505-2E9C-101B-9397-08002B2CF9AE}" pid="4" name="KSOTemplateDocerSaveRecord">
    <vt:lpwstr>eyJoZGlkIjoiNGYwZWFmOWJiYmMxMDM3MDE0NWJjMTA5M2YzNTg3NjkiLCJ1c2VySWQiOiIzNTgyMTc2NzIifQ==</vt:lpwstr>
  </property>
</Properties>
</file>